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DC61" w14:textId="2B6D6B26" w:rsidR="00F95033" w:rsidRDefault="00796DC6">
      <w:pPr>
        <w:bidi w:val="0"/>
        <w:spacing w:after="160" w:line="278" w:lineRule="auto"/>
        <w:jc w:val="left"/>
        <w:rPr>
          <w:rFonts w:cs="AL-Mateen"/>
          <w:sz w:val="44"/>
          <w:szCs w:val="48"/>
          <w:rtl/>
        </w:rPr>
      </w:pPr>
      <w:r>
        <w:rPr>
          <w:noProof/>
        </w:rPr>
        <w:drawing>
          <wp:anchor distT="0" distB="0" distL="114300" distR="114300" simplePos="0" relativeHeight="251658240" behindDoc="1" locked="0" layoutInCell="1" allowOverlap="1" wp14:anchorId="2A2D1FFB" wp14:editId="71170969">
            <wp:simplePos x="0" y="0"/>
            <wp:positionH relativeFrom="page">
              <wp:align>right</wp:align>
            </wp:positionH>
            <wp:positionV relativeFrom="paragraph">
              <wp:posOffset>-914400</wp:posOffset>
            </wp:positionV>
            <wp:extent cx="7539355" cy="10679373"/>
            <wp:effectExtent l="0" t="0" r="4445" b="8255"/>
            <wp:wrapNone/>
            <wp:docPr id="107977216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6935" cy="1069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95033">
        <w:rPr>
          <w:rFonts w:cs="AL-Mateen"/>
          <w:sz w:val="44"/>
          <w:szCs w:val="48"/>
          <w:rtl/>
        </w:rPr>
        <w:br w:type="page"/>
      </w:r>
    </w:p>
    <w:p w14:paraId="00768AF8" w14:textId="553B521C" w:rsidR="00C742E9" w:rsidRDefault="00C742E9" w:rsidP="001921BE">
      <w:pPr>
        <w:jc w:val="center"/>
        <w:rPr>
          <w:rFonts w:cs="AL-Mateen"/>
          <w:sz w:val="44"/>
          <w:szCs w:val="48"/>
          <w:rtl/>
        </w:rPr>
      </w:pPr>
      <w:r w:rsidRPr="00C742E9">
        <w:rPr>
          <w:rFonts w:cs="AL-Mateen"/>
          <w:sz w:val="44"/>
          <w:szCs w:val="48"/>
          <w:rtl/>
        </w:rPr>
        <w:lastRenderedPageBreak/>
        <w:t>ضابط اليسير</w:t>
      </w:r>
      <w:r>
        <w:rPr>
          <w:rFonts w:cs="AL-Mateen" w:hint="cs"/>
          <w:sz w:val="44"/>
          <w:szCs w:val="48"/>
          <w:rtl/>
        </w:rPr>
        <w:t xml:space="preserve"> عند الفقهاء</w:t>
      </w:r>
      <w:r w:rsidR="001921BE" w:rsidRPr="001921BE">
        <w:rPr>
          <w:rStyle w:val="aa"/>
          <w:rtl/>
        </w:rPr>
        <w:t>(</w:t>
      </w:r>
      <w:r w:rsidR="001921BE">
        <w:rPr>
          <w:rStyle w:val="aa"/>
          <w:rtl/>
        </w:rPr>
        <w:footnoteReference w:id="1"/>
      </w:r>
      <w:r w:rsidR="001921BE" w:rsidRPr="001921BE">
        <w:rPr>
          <w:rStyle w:val="aa"/>
          <w:rtl/>
        </w:rPr>
        <w:t>)</w:t>
      </w:r>
      <w:r w:rsidR="001921BE" w:rsidRPr="001921BE">
        <w:rPr>
          <w:rtl/>
        </w:rPr>
        <w:t xml:space="preserve"> </w:t>
      </w:r>
    </w:p>
    <w:p w14:paraId="79FE95F9" w14:textId="287D23D9" w:rsidR="00C742E9" w:rsidRDefault="00C742E9" w:rsidP="00C742E9">
      <w:pPr>
        <w:jc w:val="center"/>
        <w:rPr>
          <w:rFonts w:ascii="ATraditional Arabic" w:hAnsi="ATraditional Arabic"/>
          <w:rtl/>
        </w:rPr>
      </w:pPr>
      <w:r w:rsidRPr="00C742E9">
        <w:rPr>
          <w:rFonts w:ascii="ATraditional Arabic" w:hAnsi="ATraditional Arabic"/>
          <w:rtl/>
        </w:rPr>
        <w:t>دراسة استقرائية تأصيلية</w:t>
      </w:r>
    </w:p>
    <w:p w14:paraId="70D8B2C0" w14:textId="089E9AD7" w:rsidR="00FD0882" w:rsidRDefault="00FD0882" w:rsidP="00C742E9">
      <w:pPr>
        <w:jc w:val="center"/>
        <w:rPr>
          <w:rFonts w:ascii="ATraditional Arabic" w:hAnsi="ATraditional Arabic"/>
          <w:rtl/>
        </w:rPr>
      </w:pPr>
      <w:r>
        <w:rPr>
          <w:rFonts w:ascii="ATraditional Arabic" w:hAnsi="ATraditional Arabic" w:hint="cs"/>
          <w:rtl/>
        </w:rPr>
        <w:t>ال</w:t>
      </w:r>
      <w:r w:rsidR="001921BE">
        <w:rPr>
          <w:rFonts w:ascii="ATraditional Arabic" w:hAnsi="ATraditional Arabic" w:hint="cs"/>
          <w:rtl/>
        </w:rPr>
        <w:t>باحث: عبدالعزيز بن علي المنصور</w:t>
      </w:r>
    </w:p>
    <w:p w14:paraId="07A49BC0" w14:textId="77777777" w:rsidR="00C742E9" w:rsidRDefault="00C742E9" w:rsidP="00C742E9">
      <w:pPr>
        <w:ind w:firstLine="515"/>
        <w:rPr>
          <w:rtl/>
        </w:rPr>
      </w:pPr>
    </w:p>
    <w:p w14:paraId="150555BA" w14:textId="461917CC" w:rsidR="00C742E9" w:rsidRDefault="00C742E9" w:rsidP="00C742E9">
      <w:pPr>
        <w:ind w:firstLine="515"/>
        <w:rPr>
          <w:rtl/>
        </w:rPr>
      </w:pPr>
      <w:r>
        <w:rPr>
          <w:rtl/>
        </w:rPr>
        <w:t>اليسير وصف دائر في أبواب الفقه كلِّها، تُبنى عليه أحكام كثيرة، من العفو والاغتفار، وسقوط الوجوب، ورفع الإثم، وصحة العبادة وبطلانها</w:t>
      </w:r>
      <w:r>
        <w:rPr>
          <w:rFonts w:hint="cs"/>
          <w:rtl/>
        </w:rPr>
        <w:t>،</w:t>
      </w:r>
      <w:r>
        <w:rPr>
          <w:rtl/>
        </w:rPr>
        <w:t xml:space="preserve"> وليس المشكل في معناه، فإنه القليل وضدُّه الكثير، وإنما المشكل في تنزيله على الفروع: متى يُعدُّ الشيء يسير</w:t>
      </w:r>
      <w:r w:rsidR="005F7C17">
        <w:rPr>
          <w:rtl/>
        </w:rPr>
        <w:t>ًا</w:t>
      </w:r>
      <w:r>
        <w:rPr>
          <w:rtl/>
        </w:rPr>
        <w:t xml:space="preserve"> فيُغتفر، ومتى يُلحق بالكثير فيُعتبر؟</w:t>
      </w:r>
    </w:p>
    <w:p w14:paraId="5DF89AB7" w14:textId="512A9BDC" w:rsidR="00C742E9" w:rsidRDefault="00C742E9" w:rsidP="00C742E9">
      <w:pPr>
        <w:ind w:firstLine="515"/>
        <w:rPr>
          <w:rtl/>
        </w:rPr>
      </w:pPr>
      <w:r>
        <w:rPr>
          <w:rtl/>
        </w:rPr>
        <w:t>وقد سعى الفقهاء إلى ضبط ذلك وتقديره، فتباينت اجتهاداتهم تباين</w:t>
      </w:r>
      <w:r w:rsidR="005F7C17">
        <w:rPr>
          <w:rtl/>
        </w:rPr>
        <w:t>ًا</w:t>
      </w:r>
      <w:r>
        <w:rPr>
          <w:rtl/>
        </w:rPr>
        <w:t xml:space="preserve"> كبير</w:t>
      </w:r>
      <w:r w:rsidR="005F7C17">
        <w:rPr>
          <w:rtl/>
        </w:rPr>
        <w:t>ًا</w:t>
      </w:r>
      <w:r>
        <w:rPr>
          <w:rtl/>
        </w:rPr>
        <w:t>، حتى تعددت الأقوال في المذهب الواحد بين مسألة وأخرى، فضل</w:t>
      </w:r>
      <w:r w:rsidR="005F7C17">
        <w:rPr>
          <w:rtl/>
        </w:rPr>
        <w:t>ًا</w:t>
      </w:r>
      <w:r>
        <w:rPr>
          <w:rtl/>
        </w:rPr>
        <w:t xml:space="preserve"> عن الخلاف بين المذاهب، ولم أجد لهم ضابط</w:t>
      </w:r>
      <w:r w:rsidR="005F7C17">
        <w:rPr>
          <w:rtl/>
        </w:rPr>
        <w:t>ًا</w:t>
      </w:r>
      <w:r>
        <w:rPr>
          <w:rtl/>
        </w:rPr>
        <w:t xml:space="preserve"> كلي</w:t>
      </w:r>
      <w:r w:rsidR="005F7C17">
        <w:rPr>
          <w:rtl/>
        </w:rPr>
        <w:t>ًا</w:t>
      </w:r>
      <w:r>
        <w:rPr>
          <w:rtl/>
        </w:rPr>
        <w:t xml:space="preserve"> منصوص</w:t>
      </w:r>
      <w:r w:rsidR="005F7C17">
        <w:rPr>
          <w:rtl/>
        </w:rPr>
        <w:t>ًا</w:t>
      </w:r>
      <w:r>
        <w:rPr>
          <w:rtl/>
        </w:rPr>
        <w:t xml:space="preserve"> يُرجع إليه في سائر المسائل، وإنما هي تقديرات متفرقة في مظانّها من الفروع.</w:t>
      </w:r>
    </w:p>
    <w:p w14:paraId="341120F0" w14:textId="1D9D74A8" w:rsidR="00C742E9" w:rsidRPr="00CF742B" w:rsidRDefault="00C742E9" w:rsidP="00C742E9">
      <w:pPr>
        <w:ind w:firstLine="515"/>
        <w:rPr>
          <w:rtl/>
        </w:rPr>
      </w:pPr>
      <w:r>
        <w:rPr>
          <w:rtl/>
        </w:rPr>
        <w:t>فهذا البحث محاولة لجمع تلك التقديرات، واستقراء ما جرى عليه عمل الفقهاء فيها، وردِّها إلى مسالك محصورة، ثم الموازنة بينها والترجيح؛ ليكون الحكم على اليسير منضبط</w:t>
      </w:r>
      <w:r w:rsidR="005F7C17">
        <w:rPr>
          <w:rtl/>
        </w:rPr>
        <w:t>ًا</w:t>
      </w:r>
      <w:r>
        <w:rPr>
          <w:rtl/>
        </w:rPr>
        <w:t xml:space="preserve"> بأصلٍ يُرجع إليه، وما لا يُدرك كلُّه لا يُترك جلُّه</w:t>
      </w:r>
      <w:r w:rsidRPr="00CF742B">
        <w:rPr>
          <w:rFonts w:hint="cs"/>
          <w:rtl/>
        </w:rPr>
        <w:t>.</w:t>
      </w:r>
    </w:p>
    <w:p w14:paraId="1029650B" w14:textId="77777777" w:rsidR="00C742E9" w:rsidRPr="00CF742B" w:rsidRDefault="00C742E9" w:rsidP="00C742E9">
      <w:pPr>
        <w:rPr>
          <w:b/>
          <w:bCs/>
          <w:sz w:val="12"/>
          <w:szCs w:val="14"/>
          <w:rtl/>
        </w:rPr>
      </w:pPr>
    </w:p>
    <w:p w14:paraId="1F15FFE9" w14:textId="77777777" w:rsidR="00C742E9" w:rsidRPr="00CF742B" w:rsidRDefault="00C742E9" w:rsidP="00C742E9">
      <w:pPr>
        <w:rPr>
          <w:b/>
          <w:bCs/>
          <w:u w:val="single"/>
          <w:rtl/>
        </w:rPr>
      </w:pPr>
      <w:r w:rsidRPr="00CF742B">
        <w:rPr>
          <w:rFonts w:hint="cs"/>
          <w:b/>
          <w:bCs/>
          <w:u w:val="single"/>
          <w:rtl/>
        </w:rPr>
        <w:t>تحرير محل النزاع:</w:t>
      </w:r>
    </w:p>
    <w:p w14:paraId="2A0747DE" w14:textId="41FD9610" w:rsidR="000B7965" w:rsidRDefault="00C742E9" w:rsidP="00C742E9">
      <w:pPr>
        <w:ind w:firstLine="515"/>
        <w:rPr>
          <w:rtl/>
        </w:rPr>
      </w:pPr>
      <w:r w:rsidRPr="00CF742B">
        <w:rPr>
          <w:rFonts w:hint="cs"/>
          <w:rtl/>
        </w:rPr>
        <w:t>اتفق الفقهاء على الأخذ بتقدير اليسير فيما ورد فيه نص شرعي خاص به -فيما ثبت دليله عندهم-، وأن ما جاء من هذا الطريق مقدَّم على غيره من المعايير الضابطة للحد.</w:t>
      </w:r>
    </w:p>
    <w:p w14:paraId="3872C30C" w14:textId="77777777" w:rsidR="000B7965" w:rsidRDefault="000B7965">
      <w:pPr>
        <w:bidi w:val="0"/>
        <w:spacing w:after="160" w:line="278" w:lineRule="auto"/>
        <w:jc w:val="left"/>
        <w:rPr>
          <w:rtl/>
        </w:rPr>
      </w:pPr>
      <w:r>
        <w:rPr>
          <w:rtl/>
        </w:rPr>
        <w:br w:type="page"/>
      </w:r>
    </w:p>
    <w:p w14:paraId="745CC84B" w14:textId="77777777" w:rsidR="00C742E9" w:rsidRPr="00CF742B" w:rsidRDefault="00C742E9" w:rsidP="00C742E9">
      <w:pPr>
        <w:rPr>
          <w:b/>
          <w:bCs/>
          <w:rtl/>
        </w:rPr>
      </w:pPr>
      <w:r w:rsidRPr="00CF742B">
        <w:rPr>
          <w:rFonts w:hint="cs"/>
          <w:b/>
          <w:bCs/>
          <w:rtl/>
        </w:rPr>
        <w:lastRenderedPageBreak/>
        <w:t>والأمثلة على هذا كثيرة، منها:</w:t>
      </w:r>
    </w:p>
    <w:p w14:paraId="267CCB60" w14:textId="04FB952D" w:rsidR="00C742E9" w:rsidRPr="00CF742B" w:rsidRDefault="00C742E9" w:rsidP="00C742E9">
      <w:pPr>
        <w:spacing w:after="120"/>
        <w:ind w:firstLine="567"/>
        <w:rPr>
          <w:rtl/>
        </w:rPr>
      </w:pPr>
      <w:r w:rsidRPr="00CF742B">
        <w:rPr>
          <w:rFonts w:hint="cs"/>
          <w:rtl/>
        </w:rPr>
        <w:t>مسألة الوصية، وتقديرها بالثلث، وأن من أوصى بأكثر من الثلث فإنه لا يصح ولا ينفذ إجماع</w:t>
      </w:r>
      <w:r w:rsidR="005F7C17">
        <w:rPr>
          <w:rFonts w:hint="cs"/>
          <w:rtl/>
        </w:rPr>
        <w:t>ًا</w:t>
      </w:r>
      <w:r w:rsidRPr="00CF742B">
        <w:rPr>
          <w:rStyle w:val="aa"/>
          <w:rtl/>
        </w:rPr>
        <w:t>(</w:t>
      </w:r>
      <w:r w:rsidRPr="00CF742B">
        <w:rPr>
          <w:rStyle w:val="aa"/>
          <w:rtl/>
        </w:rPr>
        <w:footnoteReference w:id="2"/>
      </w:r>
      <w:r w:rsidRPr="00CF742B">
        <w:rPr>
          <w:rStyle w:val="aa"/>
          <w:rtl/>
        </w:rPr>
        <w:t>)</w:t>
      </w:r>
      <w:r w:rsidRPr="00CF742B">
        <w:rPr>
          <w:rFonts w:hint="cs"/>
          <w:rtl/>
        </w:rPr>
        <w:t xml:space="preserve">، لحديث سعد </w:t>
      </w:r>
      <w:r w:rsidR="000B7965" w:rsidRPr="00796DC6">
        <w:rPr>
          <w:rtl/>
        </w:rPr>
        <w:t>رضي الله عنه</w:t>
      </w:r>
      <w:r w:rsidRPr="00CF742B">
        <w:rPr>
          <w:rFonts w:hint="cs"/>
          <w:rtl/>
        </w:rPr>
        <w:t xml:space="preserve"> لما أراد أن يوصي، فقال له النبي </w:t>
      </w:r>
      <w:r w:rsidR="000B7965">
        <w:rPr>
          <w:rFonts w:hint="cs"/>
          <w:rtl/>
        </w:rPr>
        <w:t>صلى الله عليه وسلم</w:t>
      </w:r>
      <w:r w:rsidRPr="00CF742B">
        <w:rPr>
          <w:rFonts w:hint="cs"/>
          <w:rtl/>
        </w:rPr>
        <w:t>: (الثلث، والثلث كثير).</w:t>
      </w:r>
      <w:r w:rsidRPr="00CF742B">
        <w:rPr>
          <w:rStyle w:val="aa"/>
          <w:rtl/>
        </w:rPr>
        <w:t>(</w:t>
      </w:r>
      <w:r w:rsidRPr="00CF742B">
        <w:rPr>
          <w:rStyle w:val="aa"/>
          <w:rtl/>
        </w:rPr>
        <w:footnoteReference w:id="3"/>
      </w:r>
      <w:r w:rsidRPr="00CF742B">
        <w:rPr>
          <w:rStyle w:val="aa"/>
          <w:rtl/>
        </w:rPr>
        <w:t>)</w:t>
      </w:r>
    </w:p>
    <w:p w14:paraId="1C92EB88" w14:textId="5861F81B" w:rsidR="00C742E9" w:rsidRPr="00CF742B" w:rsidRDefault="00C742E9" w:rsidP="00C742E9">
      <w:pPr>
        <w:spacing w:after="120"/>
        <w:ind w:firstLine="567"/>
        <w:rPr>
          <w:rtl/>
        </w:rPr>
      </w:pPr>
      <w:r w:rsidRPr="00CF742B">
        <w:rPr>
          <w:rFonts w:hint="cs"/>
          <w:rtl/>
        </w:rPr>
        <w:t>فكان الثلث حد</w:t>
      </w:r>
      <w:r w:rsidR="005F7C17">
        <w:rPr>
          <w:rFonts w:hint="cs"/>
          <w:rtl/>
        </w:rPr>
        <w:t>ًا</w:t>
      </w:r>
      <w:r w:rsidRPr="00CF742B">
        <w:rPr>
          <w:rFonts w:hint="cs"/>
          <w:rtl/>
        </w:rPr>
        <w:t xml:space="preserve"> ومعيار</w:t>
      </w:r>
      <w:r w:rsidR="005F7C17">
        <w:rPr>
          <w:rFonts w:hint="cs"/>
          <w:rtl/>
        </w:rPr>
        <w:t>ًا</w:t>
      </w:r>
      <w:r w:rsidRPr="00CF742B">
        <w:rPr>
          <w:rFonts w:hint="cs"/>
          <w:rtl/>
        </w:rPr>
        <w:t xml:space="preserve"> فاصل</w:t>
      </w:r>
      <w:r w:rsidR="005F7C17">
        <w:rPr>
          <w:rFonts w:hint="cs"/>
          <w:rtl/>
        </w:rPr>
        <w:t>ًا</w:t>
      </w:r>
      <w:r w:rsidRPr="00CF742B">
        <w:rPr>
          <w:rFonts w:hint="cs"/>
          <w:rtl/>
        </w:rPr>
        <w:t xml:space="preserve"> جاء به النص الشرعي.</w:t>
      </w:r>
    </w:p>
    <w:p w14:paraId="4B628916" w14:textId="58D42BE6" w:rsidR="00C742E9" w:rsidRPr="00CF742B" w:rsidRDefault="00C742E9" w:rsidP="00C742E9">
      <w:pPr>
        <w:spacing w:after="120"/>
        <w:ind w:firstLine="567"/>
        <w:rPr>
          <w:rtl/>
        </w:rPr>
      </w:pPr>
      <w:r w:rsidRPr="00CF742B">
        <w:rPr>
          <w:rFonts w:hint="cs"/>
          <w:rtl/>
        </w:rPr>
        <w:t>ومن المسائل التي جاء تقدير الكثير واليسير فيها بالنص؛ مسألة عطية المريض مرض</w:t>
      </w:r>
      <w:r w:rsidR="005F7C17">
        <w:rPr>
          <w:rFonts w:hint="cs"/>
          <w:rtl/>
        </w:rPr>
        <w:t>ًا</w:t>
      </w:r>
      <w:r w:rsidRPr="00CF742B">
        <w:rPr>
          <w:rFonts w:hint="cs"/>
          <w:rtl/>
        </w:rPr>
        <w:t xml:space="preserve"> مخوف</w:t>
      </w:r>
      <w:r w:rsidR="005F7C17">
        <w:rPr>
          <w:rFonts w:hint="cs"/>
          <w:rtl/>
        </w:rPr>
        <w:t>ًا</w:t>
      </w:r>
      <w:r w:rsidRPr="00CF742B">
        <w:rPr>
          <w:rFonts w:hint="cs"/>
          <w:rtl/>
        </w:rPr>
        <w:t>، فلا تصح بأكثر من ثلث ماله، وذلك باتفاق المذاهب الأربعة</w:t>
      </w:r>
      <w:r w:rsidRPr="00CF742B">
        <w:rPr>
          <w:rStyle w:val="aa"/>
          <w:rtl/>
        </w:rPr>
        <w:t>(</w:t>
      </w:r>
      <w:r w:rsidRPr="00CF742B">
        <w:rPr>
          <w:rStyle w:val="aa"/>
          <w:rtl/>
        </w:rPr>
        <w:footnoteReference w:id="4"/>
      </w:r>
      <w:r w:rsidRPr="00CF742B">
        <w:rPr>
          <w:rStyle w:val="aa"/>
          <w:rtl/>
        </w:rPr>
        <w:t>)</w:t>
      </w:r>
      <w:r w:rsidRPr="00CF742B">
        <w:rPr>
          <w:rFonts w:hint="cs"/>
          <w:rtl/>
        </w:rPr>
        <w:t>، لما</w:t>
      </w:r>
      <w:r w:rsidRPr="00CF742B">
        <w:rPr>
          <w:rtl/>
        </w:rPr>
        <w:t xml:space="preserve"> روى عمران بن حصين </w:t>
      </w:r>
      <w:r w:rsidR="000B7965" w:rsidRPr="00796DC6">
        <w:rPr>
          <w:rtl/>
        </w:rPr>
        <w:t>رضي الله عنه</w:t>
      </w:r>
      <w:r w:rsidRPr="00CF742B">
        <w:rPr>
          <w:rtl/>
        </w:rPr>
        <w:t>: (أن رجل</w:t>
      </w:r>
      <w:r w:rsidR="005F7C17">
        <w:rPr>
          <w:rtl/>
        </w:rPr>
        <w:t>ًا</w:t>
      </w:r>
      <w:r w:rsidRPr="00CF742B">
        <w:rPr>
          <w:rtl/>
        </w:rPr>
        <w:t xml:space="preserve"> أعتق ستة مملوكين له عند موته، لم يكن له مال غيرهم، فدعا بهم إلى رسول الله </w:t>
      </w:r>
      <w:r w:rsidR="000B7965" w:rsidRPr="00796DC6">
        <w:rPr>
          <w:rtl/>
        </w:rPr>
        <w:t>صلى الله عليه وسلم</w:t>
      </w:r>
      <w:r w:rsidRPr="00CF742B">
        <w:rPr>
          <w:rtl/>
        </w:rPr>
        <w:t xml:space="preserve"> فجزأهم أثلاث</w:t>
      </w:r>
      <w:r w:rsidR="005F7C17">
        <w:rPr>
          <w:rtl/>
        </w:rPr>
        <w:t>ًا</w:t>
      </w:r>
      <w:r w:rsidRPr="00CF742B">
        <w:rPr>
          <w:rtl/>
        </w:rPr>
        <w:t>، ثم أقرع بينهم، فأعتق اثنين، وأرقَّ أربعة، وقال له قول</w:t>
      </w:r>
      <w:r w:rsidR="005F7C17">
        <w:rPr>
          <w:rtl/>
        </w:rPr>
        <w:t>ًا</w:t>
      </w:r>
      <w:r w:rsidRPr="00CF742B">
        <w:rPr>
          <w:rtl/>
        </w:rPr>
        <w:t xml:space="preserve"> شديد</w:t>
      </w:r>
      <w:r w:rsidR="005F7C17">
        <w:rPr>
          <w:rtl/>
        </w:rPr>
        <w:t>ًا</w:t>
      </w:r>
      <w:r w:rsidRPr="00CF742B">
        <w:rPr>
          <w:rtl/>
        </w:rPr>
        <w:t>)</w:t>
      </w:r>
      <w:r w:rsidRPr="00796DC6">
        <w:rPr>
          <w:rtl/>
        </w:rPr>
        <w:t>(</w:t>
      </w:r>
      <w:r w:rsidRPr="00796DC6">
        <w:rPr>
          <w:rtl/>
        </w:rPr>
        <w:footnoteReference w:id="5"/>
      </w:r>
      <w:r w:rsidRPr="00796DC6">
        <w:rPr>
          <w:rtl/>
        </w:rPr>
        <w:t>)</w:t>
      </w:r>
      <w:r w:rsidRPr="00CF742B">
        <w:rPr>
          <w:rFonts w:hint="cs"/>
          <w:rtl/>
        </w:rPr>
        <w:t>، فدل الحديث على أن ما زاد عن الثلث كثير لا تصح هبته.</w:t>
      </w:r>
    </w:p>
    <w:p w14:paraId="1E31F22D" w14:textId="7CE5B37A" w:rsidR="00C742E9" w:rsidRPr="00CF742B" w:rsidRDefault="00C742E9" w:rsidP="00C742E9">
      <w:pPr>
        <w:spacing w:after="120"/>
        <w:ind w:firstLine="567"/>
        <w:rPr>
          <w:rtl/>
        </w:rPr>
      </w:pPr>
      <w:r w:rsidRPr="00CF742B">
        <w:rPr>
          <w:rFonts w:hint="cs"/>
          <w:rtl/>
        </w:rPr>
        <w:t>ويندرج تحت هذا الباب ما ذهب إليه الشافعية</w:t>
      </w:r>
      <w:r w:rsidRPr="00CF742B">
        <w:rPr>
          <w:rStyle w:val="aa"/>
          <w:rtl/>
        </w:rPr>
        <w:t>(</w:t>
      </w:r>
      <w:r w:rsidRPr="00CF742B">
        <w:rPr>
          <w:rStyle w:val="aa"/>
          <w:rtl/>
        </w:rPr>
        <w:footnoteReference w:id="6"/>
      </w:r>
      <w:r w:rsidRPr="00CF742B">
        <w:rPr>
          <w:rStyle w:val="aa"/>
          <w:rtl/>
        </w:rPr>
        <w:t>)</w:t>
      </w:r>
      <w:r w:rsidRPr="00CF742B">
        <w:rPr>
          <w:rFonts w:hint="cs"/>
          <w:rtl/>
        </w:rPr>
        <w:t xml:space="preserve"> والحنابلة</w:t>
      </w:r>
      <w:r w:rsidRPr="00CF742B">
        <w:rPr>
          <w:rStyle w:val="aa"/>
          <w:rtl/>
        </w:rPr>
        <w:t>(</w:t>
      </w:r>
      <w:r w:rsidRPr="00CF742B">
        <w:rPr>
          <w:rStyle w:val="aa"/>
          <w:rtl/>
        </w:rPr>
        <w:footnoteReference w:id="7"/>
      </w:r>
      <w:r w:rsidRPr="00CF742B">
        <w:rPr>
          <w:rStyle w:val="aa"/>
          <w:rtl/>
        </w:rPr>
        <w:t>)</w:t>
      </w:r>
      <w:r w:rsidRPr="00CF742B">
        <w:rPr>
          <w:rFonts w:hint="cs"/>
          <w:rtl/>
        </w:rPr>
        <w:t xml:space="preserve"> في جعل مقدار القلتين حد</w:t>
      </w:r>
      <w:r w:rsidR="005F7C17">
        <w:rPr>
          <w:rFonts w:hint="cs"/>
          <w:rtl/>
        </w:rPr>
        <w:t>ًا</w:t>
      </w:r>
      <w:r w:rsidRPr="00CF742B">
        <w:rPr>
          <w:rFonts w:hint="cs"/>
          <w:rtl/>
        </w:rPr>
        <w:t xml:space="preserve"> فاصل</w:t>
      </w:r>
      <w:r w:rsidR="005F7C17">
        <w:rPr>
          <w:rFonts w:hint="cs"/>
          <w:rtl/>
        </w:rPr>
        <w:t>ًا</w:t>
      </w:r>
      <w:r w:rsidRPr="00CF742B">
        <w:rPr>
          <w:rFonts w:hint="cs"/>
          <w:rtl/>
        </w:rPr>
        <w:t xml:space="preserve"> بين الماء اليسير والكثير في حمل النجاسة</w:t>
      </w:r>
      <w:r>
        <w:rPr>
          <w:rFonts w:hint="cs"/>
          <w:rtl/>
        </w:rPr>
        <w:t xml:space="preserve">، </w:t>
      </w:r>
      <w:r w:rsidRPr="00094E70">
        <w:rPr>
          <w:rtl/>
        </w:rPr>
        <w:t>وما نقص عن القلتين تنجّس بمجرد الملاقاة وإن لم يتغير</w:t>
      </w:r>
      <w:r w:rsidRPr="00CF742B">
        <w:rPr>
          <w:rFonts w:hint="cs"/>
          <w:rtl/>
        </w:rPr>
        <w:t xml:space="preserve">، لحديث ابن عمر </w:t>
      </w:r>
      <w:r w:rsidR="000B7965">
        <w:rPr>
          <w:rFonts w:ascii="ATraditional Arabic" w:hAnsi="ATraditional Arabic"/>
          <w:rtl/>
        </w:rPr>
        <w:t>رضي الله عنه</w:t>
      </w:r>
      <w:r w:rsidRPr="00CF742B">
        <w:rPr>
          <w:rFonts w:hint="cs"/>
          <w:rtl/>
        </w:rPr>
        <w:t xml:space="preserve"> عن النبي </w:t>
      </w:r>
      <w:r w:rsidR="000B7965">
        <w:rPr>
          <w:rFonts w:hint="cs"/>
          <w:rtl/>
        </w:rPr>
        <w:t>صلى الله عليه وسلم</w:t>
      </w:r>
      <w:r w:rsidRPr="00CF742B">
        <w:rPr>
          <w:rFonts w:hint="cs"/>
          <w:rtl/>
        </w:rPr>
        <w:t xml:space="preserve"> أنه قال: </w:t>
      </w:r>
      <w:r w:rsidRPr="00CF742B">
        <w:rPr>
          <w:rFonts w:hint="cs"/>
          <w:rtl/>
        </w:rPr>
        <w:lastRenderedPageBreak/>
        <w:t>(</w:t>
      </w:r>
      <w:r w:rsidRPr="00CF742B">
        <w:rPr>
          <w:rtl/>
        </w:rPr>
        <w:t>إذا كان ‌الماء ‌قلتين لم يحمل الخبث</w:t>
      </w:r>
      <w:r w:rsidRPr="00CF742B">
        <w:rPr>
          <w:rFonts w:hint="cs"/>
          <w:rtl/>
        </w:rPr>
        <w:t>)</w:t>
      </w:r>
      <w:r w:rsidRPr="00CF742B">
        <w:rPr>
          <w:rStyle w:val="aa"/>
          <w:rtl/>
        </w:rPr>
        <w:t>(</w:t>
      </w:r>
      <w:r w:rsidRPr="00CF742B">
        <w:rPr>
          <w:rStyle w:val="aa"/>
          <w:rtl/>
        </w:rPr>
        <w:footnoteReference w:id="8"/>
      </w:r>
      <w:r w:rsidRPr="00CF742B">
        <w:rPr>
          <w:rStyle w:val="aa"/>
          <w:rtl/>
        </w:rPr>
        <w:t>)</w:t>
      </w:r>
      <w:r w:rsidRPr="00CF742B">
        <w:rPr>
          <w:rFonts w:hint="cs"/>
          <w:rtl/>
        </w:rPr>
        <w:t>، قال النووي رحمه الله: "</w:t>
      </w:r>
      <w:r w:rsidRPr="00CF742B">
        <w:rPr>
          <w:rtl/>
        </w:rPr>
        <w:t>فالكثير: قلتان، والقليل: دونه</w:t>
      </w:r>
      <w:r w:rsidRPr="00CF742B">
        <w:rPr>
          <w:rFonts w:hint="cs"/>
          <w:rtl/>
        </w:rPr>
        <w:t>"</w:t>
      </w:r>
      <w:r w:rsidRPr="00CF742B">
        <w:rPr>
          <w:rStyle w:val="aa"/>
          <w:rtl/>
        </w:rPr>
        <w:t>(</w:t>
      </w:r>
      <w:r w:rsidRPr="00CF742B">
        <w:rPr>
          <w:rStyle w:val="aa"/>
          <w:rtl/>
        </w:rPr>
        <w:footnoteReference w:id="9"/>
      </w:r>
      <w:r w:rsidRPr="00CF742B">
        <w:rPr>
          <w:rStyle w:val="aa"/>
          <w:rtl/>
        </w:rPr>
        <w:t>)</w:t>
      </w:r>
      <w:r w:rsidRPr="00CF742B">
        <w:rPr>
          <w:rFonts w:hint="cs"/>
          <w:rtl/>
        </w:rPr>
        <w:t>.</w:t>
      </w:r>
      <w:r w:rsidRPr="00CF742B">
        <w:rPr>
          <w:rStyle w:val="aa"/>
          <w:rtl/>
        </w:rPr>
        <w:t>(</w:t>
      </w:r>
      <w:r w:rsidRPr="00CF742B">
        <w:rPr>
          <w:rStyle w:val="aa"/>
          <w:rtl/>
        </w:rPr>
        <w:footnoteReference w:id="10"/>
      </w:r>
      <w:r w:rsidRPr="00CF742B">
        <w:rPr>
          <w:rStyle w:val="aa"/>
          <w:rtl/>
        </w:rPr>
        <w:t>)</w:t>
      </w:r>
      <w:r w:rsidRPr="00CF742B">
        <w:rPr>
          <w:rtl/>
        </w:rPr>
        <w:t xml:space="preserve"> </w:t>
      </w:r>
    </w:p>
    <w:p w14:paraId="7D247260" w14:textId="4922424B" w:rsidR="00C742E9" w:rsidRPr="00CF742B" w:rsidRDefault="00C742E9" w:rsidP="00C742E9">
      <w:pPr>
        <w:spacing w:after="120"/>
        <w:ind w:firstLine="567"/>
        <w:rPr>
          <w:rtl/>
        </w:rPr>
      </w:pPr>
      <w:r w:rsidRPr="00CF742B">
        <w:rPr>
          <w:rFonts w:hint="cs"/>
          <w:rtl/>
        </w:rPr>
        <w:t>وكاشتراط الشافعية</w:t>
      </w:r>
      <w:r w:rsidRPr="00CF742B">
        <w:rPr>
          <w:rStyle w:val="aa"/>
          <w:rtl/>
        </w:rPr>
        <w:t>(</w:t>
      </w:r>
      <w:r w:rsidRPr="00CF742B">
        <w:rPr>
          <w:rStyle w:val="aa"/>
          <w:rtl/>
        </w:rPr>
        <w:footnoteReference w:id="11"/>
      </w:r>
      <w:r w:rsidRPr="00CF742B">
        <w:rPr>
          <w:rStyle w:val="aa"/>
          <w:rtl/>
        </w:rPr>
        <w:t>)</w:t>
      </w:r>
      <w:r w:rsidRPr="00CF742B">
        <w:rPr>
          <w:rFonts w:hint="cs"/>
          <w:rtl/>
        </w:rPr>
        <w:t xml:space="preserve"> والحنابلة</w:t>
      </w:r>
      <w:r w:rsidRPr="00CF742B">
        <w:rPr>
          <w:rStyle w:val="aa"/>
          <w:rtl/>
        </w:rPr>
        <w:t>(</w:t>
      </w:r>
      <w:r w:rsidRPr="00CF742B">
        <w:rPr>
          <w:rStyle w:val="aa"/>
          <w:rtl/>
        </w:rPr>
        <w:footnoteReference w:id="12"/>
      </w:r>
      <w:r w:rsidRPr="00CF742B">
        <w:rPr>
          <w:rStyle w:val="aa"/>
          <w:rtl/>
        </w:rPr>
        <w:t>)</w:t>
      </w:r>
      <w:r w:rsidRPr="00CF742B">
        <w:rPr>
          <w:rFonts w:hint="cs"/>
          <w:rtl/>
        </w:rPr>
        <w:t xml:space="preserve"> لصحة الاستجمار أن يكون بثلاثة أحجار، لما جاء في حديث </w:t>
      </w:r>
      <w:r w:rsidRPr="00CF742B">
        <w:rPr>
          <w:rtl/>
        </w:rPr>
        <w:t>سلمان</w:t>
      </w:r>
      <w:r w:rsidRPr="00CF742B">
        <w:rPr>
          <w:rFonts w:hint="cs"/>
          <w:rtl/>
        </w:rPr>
        <w:t xml:space="preserve"> الفارسي </w:t>
      </w:r>
      <w:r w:rsidR="000B7965">
        <w:rPr>
          <w:rFonts w:ascii="ATraditional Arabic" w:hAnsi="ATraditional Arabic"/>
          <w:rtl/>
        </w:rPr>
        <w:t>رضي الله عنه</w:t>
      </w:r>
      <w:r w:rsidRPr="00CF742B">
        <w:rPr>
          <w:rtl/>
        </w:rPr>
        <w:t xml:space="preserve"> قال: </w:t>
      </w:r>
      <w:r w:rsidRPr="00CF742B">
        <w:rPr>
          <w:rFonts w:hint="cs"/>
          <w:rtl/>
        </w:rPr>
        <w:t>(</w:t>
      </w:r>
      <w:r w:rsidRPr="00CF742B">
        <w:rPr>
          <w:rtl/>
        </w:rPr>
        <w:t>نهانا</w:t>
      </w:r>
      <w:r w:rsidRPr="00CF742B">
        <w:rPr>
          <w:rFonts w:hint="cs"/>
          <w:rtl/>
        </w:rPr>
        <w:t xml:space="preserve"> -النبي </w:t>
      </w:r>
      <w:r w:rsidR="000B7965">
        <w:rPr>
          <w:rFonts w:hint="cs"/>
          <w:rtl/>
        </w:rPr>
        <w:t>صلى الله عليه وسلم</w:t>
      </w:r>
      <w:r w:rsidRPr="00CF742B">
        <w:rPr>
          <w:rFonts w:hint="cs"/>
          <w:rtl/>
        </w:rPr>
        <w:t xml:space="preserve">- </w:t>
      </w:r>
      <w:r w:rsidRPr="00CF742B">
        <w:rPr>
          <w:rtl/>
        </w:rPr>
        <w:t>أن نستنجي بأقل من ثلاثة أحجا</w:t>
      </w:r>
      <w:r w:rsidRPr="00CF742B">
        <w:rPr>
          <w:rFonts w:hint="cs"/>
          <w:rtl/>
        </w:rPr>
        <w:t>ر)</w:t>
      </w:r>
      <w:r w:rsidRPr="00CF742B">
        <w:rPr>
          <w:rStyle w:val="aa"/>
          <w:rtl/>
        </w:rPr>
        <w:t>(</w:t>
      </w:r>
      <w:r w:rsidRPr="00CF742B">
        <w:rPr>
          <w:rStyle w:val="aa"/>
          <w:rtl/>
        </w:rPr>
        <w:footnoteReference w:id="13"/>
      </w:r>
      <w:r w:rsidRPr="00CF742B">
        <w:rPr>
          <w:rStyle w:val="aa"/>
          <w:rtl/>
        </w:rPr>
        <w:t>)</w:t>
      </w:r>
      <w:r w:rsidRPr="00CF742B">
        <w:rPr>
          <w:rFonts w:hint="cs"/>
          <w:rtl/>
        </w:rPr>
        <w:t>، فدل على أن ما نقص عن الثلاثة أحجار قليل لا يُنقي.</w:t>
      </w:r>
      <w:r w:rsidRPr="00CF742B">
        <w:rPr>
          <w:rStyle w:val="aa"/>
          <w:rtl/>
        </w:rPr>
        <w:t>(</w:t>
      </w:r>
      <w:r w:rsidRPr="00CF742B">
        <w:rPr>
          <w:rStyle w:val="aa"/>
          <w:rtl/>
        </w:rPr>
        <w:footnoteReference w:id="14"/>
      </w:r>
      <w:r w:rsidRPr="00CF742B">
        <w:rPr>
          <w:rStyle w:val="aa"/>
          <w:rtl/>
        </w:rPr>
        <w:t>)</w:t>
      </w:r>
      <w:r w:rsidRPr="00CF742B">
        <w:rPr>
          <w:rtl/>
        </w:rPr>
        <w:t xml:space="preserve"> </w:t>
      </w:r>
    </w:p>
    <w:p w14:paraId="7A44B865" w14:textId="7B83E308" w:rsidR="00C742E9" w:rsidRPr="00CF742B" w:rsidRDefault="00C742E9" w:rsidP="00C742E9">
      <w:pPr>
        <w:tabs>
          <w:tab w:val="left" w:pos="3917"/>
        </w:tabs>
        <w:spacing w:after="120"/>
        <w:ind w:firstLine="567"/>
        <w:rPr>
          <w:rtl/>
        </w:rPr>
      </w:pPr>
      <w:r w:rsidRPr="00CF742B">
        <w:rPr>
          <w:rFonts w:hint="cs"/>
          <w:rtl/>
        </w:rPr>
        <w:t>ومثل ذلك ما جعله الشارع توقيت</w:t>
      </w:r>
      <w:r w:rsidR="005F7C17">
        <w:rPr>
          <w:rFonts w:hint="cs"/>
          <w:rtl/>
        </w:rPr>
        <w:t>ًا</w:t>
      </w:r>
      <w:r w:rsidRPr="00CF742B">
        <w:rPr>
          <w:rFonts w:hint="cs"/>
          <w:rtl/>
        </w:rPr>
        <w:t xml:space="preserve"> للمسح على الخفين، للمقيم يوم وليلة، وللمسافر ثلاثة أيام بلياليها، وما زاد عنها فهو كثير لا يصح فيها المسح، وهذا مذهب الجمهور من </w:t>
      </w:r>
      <w:r w:rsidRPr="00CF742B">
        <w:rPr>
          <w:rFonts w:hint="cs"/>
          <w:rtl/>
        </w:rPr>
        <w:lastRenderedPageBreak/>
        <w:t>الحنفية</w:t>
      </w:r>
      <w:r w:rsidRPr="00CF742B">
        <w:rPr>
          <w:rStyle w:val="aa"/>
          <w:rtl/>
        </w:rPr>
        <w:t>(</w:t>
      </w:r>
      <w:r w:rsidRPr="00CF742B">
        <w:rPr>
          <w:rStyle w:val="aa"/>
          <w:rtl/>
        </w:rPr>
        <w:footnoteReference w:id="15"/>
      </w:r>
      <w:r w:rsidRPr="00CF742B">
        <w:rPr>
          <w:rStyle w:val="aa"/>
          <w:rtl/>
        </w:rPr>
        <w:t>)</w:t>
      </w:r>
      <w:r w:rsidRPr="00CF742B">
        <w:rPr>
          <w:rFonts w:hint="cs"/>
          <w:rtl/>
        </w:rPr>
        <w:t xml:space="preserve"> والشافعية</w:t>
      </w:r>
      <w:r w:rsidRPr="00CF742B">
        <w:rPr>
          <w:rStyle w:val="aa"/>
          <w:rtl/>
        </w:rPr>
        <w:t>(</w:t>
      </w:r>
      <w:r w:rsidRPr="00CF742B">
        <w:rPr>
          <w:rStyle w:val="aa"/>
          <w:rtl/>
        </w:rPr>
        <w:footnoteReference w:id="16"/>
      </w:r>
      <w:r w:rsidRPr="00CF742B">
        <w:rPr>
          <w:rStyle w:val="aa"/>
          <w:rtl/>
        </w:rPr>
        <w:t>)</w:t>
      </w:r>
      <w:r w:rsidRPr="00CF742B">
        <w:rPr>
          <w:rFonts w:hint="cs"/>
          <w:rtl/>
        </w:rPr>
        <w:t xml:space="preserve"> والحنابلة</w:t>
      </w:r>
      <w:r w:rsidRPr="00CF742B">
        <w:rPr>
          <w:rStyle w:val="aa"/>
          <w:rtl/>
        </w:rPr>
        <w:t>(</w:t>
      </w:r>
      <w:r w:rsidRPr="00CF742B">
        <w:rPr>
          <w:rStyle w:val="aa"/>
          <w:rtl/>
        </w:rPr>
        <w:footnoteReference w:id="17"/>
      </w:r>
      <w:r w:rsidRPr="00CF742B">
        <w:rPr>
          <w:rStyle w:val="aa"/>
          <w:rtl/>
        </w:rPr>
        <w:t>)</w:t>
      </w:r>
      <w:r w:rsidRPr="00CF742B">
        <w:rPr>
          <w:rFonts w:hint="cs"/>
          <w:rtl/>
        </w:rPr>
        <w:t xml:space="preserve">، ودليل ذلك: حديث علي </w:t>
      </w:r>
      <w:r w:rsidR="000B7965">
        <w:rPr>
          <w:rFonts w:ascii="ATraditional Arabic" w:hAnsi="ATraditional Arabic"/>
          <w:rtl/>
        </w:rPr>
        <w:t>رضي الله عنه</w:t>
      </w:r>
      <w:r w:rsidRPr="00CF742B">
        <w:rPr>
          <w:rFonts w:hint="cs"/>
          <w:rtl/>
        </w:rPr>
        <w:t>، قال: (</w:t>
      </w:r>
      <w:r w:rsidRPr="00CF742B">
        <w:rPr>
          <w:rtl/>
        </w:rPr>
        <w:t xml:space="preserve">جعل رسول الله </w:t>
      </w:r>
      <w:r w:rsidR="000B7965">
        <w:rPr>
          <w:rFonts w:hint="cs"/>
          <w:rtl/>
        </w:rPr>
        <w:t>صلى الله عليه وسلم</w:t>
      </w:r>
      <w:r w:rsidRPr="00CF742B">
        <w:rPr>
          <w:rFonts w:hint="cs"/>
          <w:rtl/>
        </w:rPr>
        <w:t xml:space="preserve"> </w:t>
      </w:r>
      <w:r w:rsidRPr="00CF742B">
        <w:rPr>
          <w:rtl/>
        </w:rPr>
        <w:t>ثلاثة أيام ولياليهن للمسافر، ويوم</w:t>
      </w:r>
      <w:r w:rsidR="005F7C17">
        <w:rPr>
          <w:rtl/>
        </w:rPr>
        <w:t>ًا</w:t>
      </w:r>
      <w:r w:rsidRPr="00CF742B">
        <w:rPr>
          <w:rtl/>
        </w:rPr>
        <w:t xml:space="preserve"> وليلة للمقيم</w:t>
      </w:r>
      <w:r w:rsidRPr="00CF742B">
        <w:rPr>
          <w:rFonts w:hint="cs"/>
          <w:rtl/>
        </w:rPr>
        <w:t>)</w:t>
      </w:r>
      <w:r w:rsidRPr="00CF742B">
        <w:rPr>
          <w:rStyle w:val="aa"/>
          <w:rtl/>
        </w:rPr>
        <w:t>(</w:t>
      </w:r>
      <w:r w:rsidRPr="00CF742B">
        <w:rPr>
          <w:rStyle w:val="aa"/>
          <w:rtl/>
        </w:rPr>
        <w:footnoteReference w:id="18"/>
      </w:r>
      <w:r w:rsidRPr="00CF742B">
        <w:rPr>
          <w:rStyle w:val="aa"/>
          <w:rtl/>
        </w:rPr>
        <w:t>)</w:t>
      </w:r>
      <w:r w:rsidRPr="00CF742B">
        <w:rPr>
          <w:rFonts w:hint="cs"/>
          <w:rtl/>
        </w:rPr>
        <w:t>.</w:t>
      </w:r>
      <w:r w:rsidRPr="00CF742B">
        <w:rPr>
          <w:rStyle w:val="aa"/>
          <w:rtl/>
        </w:rPr>
        <w:t>(</w:t>
      </w:r>
      <w:r w:rsidRPr="00CF742B">
        <w:rPr>
          <w:rStyle w:val="aa"/>
          <w:rtl/>
        </w:rPr>
        <w:footnoteReference w:id="19"/>
      </w:r>
      <w:r w:rsidRPr="00CF742B">
        <w:rPr>
          <w:rStyle w:val="aa"/>
          <w:rtl/>
        </w:rPr>
        <w:t>)</w:t>
      </w:r>
      <w:r w:rsidRPr="00CF742B">
        <w:rPr>
          <w:rtl/>
        </w:rPr>
        <w:t xml:space="preserve"> </w:t>
      </w:r>
    </w:p>
    <w:p w14:paraId="3962EDB5" w14:textId="18C0913E" w:rsidR="00C742E9" w:rsidRPr="00CF742B" w:rsidRDefault="00C742E9" w:rsidP="00C742E9">
      <w:pPr>
        <w:spacing w:after="120"/>
        <w:ind w:firstLine="567"/>
        <w:rPr>
          <w:rtl/>
        </w:rPr>
      </w:pPr>
      <w:r w:rsidRPr="00CF742B">
        <w:rPr>
          <w:rFonts w:hint="cs"/>
          <w:rtl/>
        </w:rPr>
        <w:t>وكذلك من المسائل، ما جاءت به الشريعة في بيان الحد الذي تقطع فيه يد السارق، وهو ما بلغ ربع دينار، وهذا مذهب الجمهور من المالكية</w:t>
      </w:r>
      <w:r w:rsidRPr="00CF742B">
        <w:rPr>
          <w:rStyle w:val="aa"/>
          <w:rtl/>
        </w:rPr>
        <w:t>(</w:t>
      </w:r>
      <w:r w:rsidRPr="00CF742B">
        <w:rPr>
          <w:rStyle w:val="aa"/>
          <w:rtl/>
        </w:rPr>
        <w:footnoteReference w:id="20"/>
      </w:r>
      <w:r w:rsidRPr="00CF742B">
        <w:rPr>
          <w:rStyle w:val="aa"/>
          <w:rtl/>
        </w:rPr>
        <w:t>)</w:t>
      </w:r>
      <w:r w:rsidRPr="00CF742B">
        <w:rPr>
          <w:rFonts w:hint="cs"/>
          <w:rtl/>
        </w:rPr>
        <w:t xml:space="preserve"> والشافعية</w:t>
      </w:r>
      <w:r w:rsidRPr="00CF742B">
        <w:rPr>
          <w:rStyle w:val="aa"/>
          <w:rtl/>
        </w:rPr>
        <w:t>(</w:t>
      </w:r>
      <w:r w:rsidRPr="00CF742B">
        <w:rPr>
          <w:rStyle w:val="aa"/>
          <w:rtl/>
        </w:rPr>
        <w:footnoteReference w:id="21"/>
      </w:r>
      <w:r w:rsidRPr="00CF742B">
        <w:rPr>
          <w:rStyle w:val="aa"/>
          <w:rtl/>
        </w:rPr>
        <w:t>)</w:t>
      </w:r>
      <w:r w:rsidRPr="00CF742B">
        <w:rPr>
          <w:rFonts w:hint="cs"/>
          <w:rtl/>
        </w:rPr>
        <w:t xml:space="preserve"> والحنابلة</w:t>
      </w:r>
      <w:r w:rsidRPr="00CF742B">
        <w:rPr>
          <w:rStyle w:val="aa"/>
          <w:rtl/>
        </w:rPr>
        <w:t>(</w:t>
      </w:r>
      <w:r w:rsidRPr="00CF742B">
        <w:rPr>
          <w:rStyle w:val="aa"/>
          <w:rtl/>
        </w:rPr>
        <w:footnoteReference w:id="22"/>
      </w:r>
      <w:r w:rsidRPr="00CF742B">
        <w:rPr>
          <w:rStyle w:val="aa"/>
          <w:rtl/>
        </w:rPr>
        <w:t>)</w:t>
      </w:r>
      <w:r w:rsidRPr="00CF742B">
        <w:rPr>
          <w:rFonts w:hint="cs"/>
          <w:rtl/>
        </w:rPr>
        <w:t>، ف</w:t>
      </w:r>
      <w:r w:rsidRPr="00CF742B">
        <w:rPr>
          <w:rtl/>
        </w:rPr>
        <w:t>عن عائشة</w:t>
      </w:r>
      <w:r w:rsidRPr="00CF742B">
        <w:rPr>
          <w:rFonts w:hint="cs"/>
          <w:rtl/>
        </w:rPr>
        <w:t xml:space="preserve"> </w:t>
      </w:r>
      <w:r w:rsidR="000B7965">
        <w:rPr>
          <w:rFonts w:ascii="ATraditional Arabic" w:hAnsi="ATraditional Arabic"/>
          <w:rtl/>
        </w:rPr>
        <w:t>رضي الله عنها</w:t>
      </w:r>
      <w:r w:rsidRPr="00CF742B">
        <w:rPr>
          <w:rFonts w:hint="cs"/>
          <w:rtl/>
        </w:rPr>
        <w:t xml:space="preserve"> أن </w:t>
      </w:r>
      <w:r w:rsidRPr="00CF742B">
        <w:rPr>
          <w:rtl/>
        </w:rPr>
        <w:t>النبي</w:t>
      </w:r>
      <w:r w:rsidRPr="00CF742B">
        <w:rPr>
          <w:rFonts w:hint="cs"/>
          <w:rtl/>
        </w:rPr>
        <w:t xml:space="preserve"> </w:t>
      </w:r>
      <w:r w:rsidR="000B7965">
        <w:rPr>
          <w:rFonts w:hint="cs"/>
          <w:rtl/>
        </w:rPr>
        <w:t>صلى الله عليه وسلم</w:t>
      </w:r>
      <w:r w:rsidRPr="00CF742B">
        <w:rPr>
          <w:rFonts w:hint="cs"/>
          <w:rtl/>
        </w:rPr>
        <w:t xml:space="preserve"> قال</w:t>
      </w:r>
      <w:r w:rsidRPr="00CF742B">
        <w:rPr>
          <w:rtl/>
        </w:rPr>
        <w:t>: (تقطع اليد في ربع ‌دينار فصاعد</w:t>
      </w:r>
      <w:r w:rsidR="005F7C17">
        <w:rPr>
          <w:rtl/>
        </w:rPr>
        <w:t>ًا</w:t>
      </w:r>
      <w:r w:rsidRPr="00CF742B">
        <w:rPr>
          <w:rtl/>
        </w:rPr>
        <w:t>)</w:t>
      </w:r>
      <w:r w:rsidRPr="00CF742B">
        <w:rPr>
          <w:rStyle w:val="aa"/>
          <w:rtl/>
        </w:rPr>
        <w:t>(</w:t>
      </w:r>
      <w:r w:rsidRPr="00CF742B">
        <w:rPr>
          <w:rStyle w:val="aa"/>
          <w:rtl/>
        </w:rPr>
        <w:footnoteReference w:id="23"/>
      </w:r>
      <w:r w:rsidRPr="00CF742B">
        <w:rPr>
          <w:rStyle w:val="aa"/>
          <w:rtl/>
        </w:rPr>
        <w:t>)</w:t>
      </w:r>
      <w:r w:rsidRPr="00CF742B">
        <w:rPr>
          <w:rFonts w:hint="cs"/>
          <w:rtl/>
        </w:rPr>
        <w:t>.</w:t>
      </w:r>
      <w:r w:rsidRPr="00CF742B">
        <w:rPr>
          <w:rStyle w:val="aa"/>
          <w:rtl/>
        </w:rPr>
        <w:t>(</w:t>
      </w:r>
      <w:r w:rsidRPr="00CF742B">
        <w:rPr>
          <w:rStyle w:val="aa"/>
          <w:rtl/>
        </w:rPr>
        <w:footnoteReference w:id="24"/>
      </w:r>
      <w:r w:rsidRPr="00CF742B">
        <w:rPr>
          <w:rStyle w:val="aa"/>
          <w:rtl/>
        </w:rPr>
        <w:t>)</w:t>
      </w:r>
      <w:r w:rsidRPr="00CF742B">
        <w:rPr>
          <w:rtl/>
        </w:rPr>
        <w:t xml:space="preserve"> </w:t>
      </w:r>
    </w:p>
    <w:p w14:paraId="23460BB4" w14:textId="54ECF024" w:rsidR="00C742E9" w:rsidRPr="00CF742B" w:rsidRDefault="00C742E9" w:rsidP="00C742E9">
      <w:pPr>
        <w:spacing w:after="120"/>
        <w:ind w:firstLine="567"/>
        <w:jc w:val="both"/>
        <w:rPr>
          <w:rtl/>
        </w:rPr>
      </w:pPr>
      <w:r w:rsidRPr="00CF742B">
        <w:rPr>
          <w:rFonts w:hint="cs"/>
          <w:rtl/>
        </w:rPr>
        <w:lastRenderedPageBreak/>
        <w:t>وذهب</w:t>
      </w:r>
      <w:r w:rsidRPr="00CF742B">
        <w:rPr>
          <w:rtl/>
        </w:rPr>
        <w:t xml:space="preserve"> المالكية</w:t>
      </w:r>
      <w:r w:rsidRPr="00CF742B">
        <w:rPr>
          <w:rStyle w:val="aa"/>
          <w:rtl/>
        </w:rPr>
        <w:t>(</w:t>
      </w:r>
      <w:r w:rsidRPr="00CF742B">
        <w:rPr>
          <w:rStyle w:val="aa"/>
          <w:rtl/>
        </w:rPr>
        <w:footnoteReference w:id="25"/>
      </w:r>
      <w:r w:rsidRPr="00CF742B">
        <w:rPr>
          <w:rStyle w:val="aa"/>
          <w:rtl/>
        </w:rPr>
        <w:t>)</w:t>
      </w:r>
      <w:r w:rsidRPr="00CF742B">
        <w:rPr>
          <w:rtl/>
        </w:rPr>
        <w:t xml:space="preserve"> والحنابلة</w:t>
      </w:r>
      <w:r w:rsidRPr="00CF742B">
        <w:rPr>
          <w:rStyle w:val="aa"/>
          <w:rtl/>
        </w:rPr>
        <w:t>(</w:t>
      </w:r>
      <w:r w:rsidRPr="00CF742B">
        <w:rPr>
          <w:rStyle w:val="aa"/>
          <w:rtl/>
        </w:rPr>
        <w:footnoteReference w:id="26"/>
      </w:r>
      <w:r w:rsidRPr="00CF742B">
        <w:rPr>
          <w:rStyle w:val="aa"/>
          <w:rtl/>
        </w:rPr>
        <w:t>)</w:t>
      </w:r>
      <w:r w:rsidRPr="00CF742B">
        <w:rPr>
          <w:rFonts w:hint="cs"/>
          <w:rtl/>
        </w:rPr>
        <w:t xml:space="preserve"> إلى أن </w:t>
      </w:r>
      <w:r w:rsidRPr="00204052">
        <w:rPr>
          <w:rtl/>
        </w:rPr>
        <w:t>جراح المرأة تساوي جراح الرجل ما لم تبلغ ثلث الدية، فإذا بلغت الثلث رجعت إلى النصف</w:t>
      </w:r>
      <w:r>
        <w:rPr>
          <w:rFonts w:hint="cs"/>
          <w:rtl/>
        </w:rPr>
        <w:t>؛</w:t>
      </w:r>
      <w:r w:rsidRPr="00CF742B">
        <w:rPr>
          <w:rFonts w:hint="cs"/>
          <w:rtl/>
        </w:rPr>
        <w:t xml:space="preserve"> لحديث عمرو بن شعيب عن أبيه عن جده مرفوع</w:t>
      </w:r>
      <w:r w:rsidR="005F7C17">
        <w:rPr>
          <w:rFonts w:hint="cs"/>
          <w:rtl/>
        </w:rPr>
        <w:t>ًا</w:t>
      </w:r>
      <w:r w:rsidRPr="00CF742B">
        <w:rPr>
          <w:rFonts w:hint="cs"/>
          <w:rtl/>
        </w:rPr>
        <w:t>: (عقل المرأة مثل عقل الرجل، حتى يبلغ الثلث من ديتها).</w:t>
      </w:r>
      <w:r w:rsidRPr="00CF742B">
        <w:rPr>
          <w:rStyle w:val="aa"/>
          <w:rtl/>
        </w:rPr>
        <w:t>(</w:t>
      </w:r>
      <w:r w:rsidRPr="00CF742B">
        <w:rPr>
          <w:rStyle w:val="aa"/>
          <w:rtl/>
        </w:rPr>
        <w:footnoteReference w:id="27"/>
      </w:r>
      <w:r w:rsidRPr="00CF742B">
        <w:rPr>
          <w:rStyle w:val="aa"/>
          <w:rtl/>
        </w:rPr>
        <w:t>)</w:t>
      </w:r>
      <w:r w:rsidRPr="00CF742B">
        <w:rPr>
          <w:rtl/>
        </w:rPr>
        <w:t xml:space="preserve"> </w:t>
      </w:r>
    </w:p>
    <w:p w14:paraId="513BAECA" w14:textId="5267F198" w:rsidR="00C742E9" w:rsidRPr="00CF742B" w:rsidRDefault="00C742E9" w:rsidP="00C742E9">
      <w:pPr>
        <w:spacing w:before="240" w:after="120"/>
        <w:ind w:firstLine="567"/>
        <w:jc w:val="both"/>
        <w:rPr>
          <w:rtl/>
        </w:rPr>
      </w:pPr>
      <w:r w:rsidRPr="00CF742B">
        <w:rPr>
          <w:rFonts w:hint="cs"/>
          <w:rtl/>
        </w:rPr>
        <w:t xml:space="preserve">ثم اختلف الفقهاء في تحديد ضابط اليسير في المسائل التي لم يرد فيها دليل خاص بها، فوجدت بعد البحث والاستقراء لكثير من الفروع الفقهية أن المذاهب غير متفقة على ضابط معين لليسير يحتكمون إليه، بل كان لكل مذهب طريقته واجتهاده، حتى إن الخلاف قد يقع في المذهب الواحد نفسه بين مسألة وأخرى، وتوصلت إلى أن ما ذهبوا إليه يمكن حصره في خمسة أقوال رئيسة، سآتي على ذكرها مع بيان من قال بها من أئمة المذاهب، </w:t>
      </w:r>
      <w:r>
        <w:rPr>
          <w:rFonts w:hint="cs"/>
          <w:rtl/>
        </w:rPr>
        <w:t>علم</w:t>
      </w:r>
      <w:r w:rsidR="005F7C17">
        <w:rPr>
          <w:rFonts w:hint="cs"/>
          <w:rtl/>
        </w:rPr>
        <w:t>ًا</w:t>
      </w:r>
      <w:r w:rsidRPr="00BC0332">
        <w:rPr>
          <w:rtl/>
        </w:rPr>
        <w:t xml:space="preserve"> أن هذه الأقوال لم ينصّ عليها أصحابُها </w:t>
      </w:r>
      <w:r>
        <w:rPr>
          <w:rFonts w:hint="cs"/>
          <w:rtl/>
        </w:rPr>
        <w:t>ك</w:t>
      </w:r>
      <w:r w:rsidRPr="00BC0332">
        <w:rPr>
          <w:rtl/>
        </w:rPr>
        <w:t>ضابط</w:t>
      </w:r>
      <w:r>
        <w:rPr>
          <w:rFonts w:hint="cs"/>
          <w:rtl/>
        </w:rPr>
        <w:t>ٍ</w:t>
      </w:r>
      <w:r w:rsidRPr="00BC0332">
        <w:rPr>
          <w:rtl/>
        </w:rPr>
        <w:t xml:space="preserve"> كلي</w:t>
      </w:r>
      <w:r>
        <w:rPr>
          <w:rFonts w:hint="cs"/>
          <w:rtl/>
        </w:rPr>
        <w:t>ٍّ</w:t>
      </w:r>
      <w:r w:rsidRPr="00BC0332">
        <w:rPr>
          <w:rtl/>
        </w:rPr>
        <w:t xml:space="preserve"> يطردونه في كل مسألة، وإنما هي مما استخلصته بعد النظر والاستقراء في فروعهم وما جروا عليه في تطبيقاتهم، فما نسبتُه إلى مذهب منها فإنما هو باعتبار عمله في تلك الفروع، لا باعتبار تصريحه به والتنصيص عليه، ولهذا وجدتُ المذهب الواحد قد يُنسب إليه أكثر من قول بحسب اختلاف المسائل، </w:t>
      </w:r>
      <w:r w:rsidRPr="009B459D">
        <w:rPr>
          <w:rtl/>
        </w:rPr>
        <w:t>وبيان هذه الأقوال</w:t>
      </w:r>
      <w:r>
        <w:rPr>
          <w:rFonts w:hint="cs"/>
          <w:rtl/>
        </w:rPr>
        <w:t xml:space="preserve"> على ما يلي:</w:t>
      </w:r>
    </w:p>
    <w:p w14:paraId="79AD5046" w14:textId="77777777" w:rsidR="00C742E9" w:rsidRPr="00CF742B" w:rsidRDefault="00C742E9" w:rsidP="00C742E9">
      <w:pPr>
        <w:rPr>
          <w:b/>
          <w:bCs/>
          <w:sz w:val="8"/>
          <w:szCs w:val="10"/>
          <w:rtl/>
        </w:rPr>
      </w:pPr>
    </w:p>
    <w:p w14:paraId="08ED85EB" w14:textId="77777777" w:rsidR="00C742E9" w:rsidRPr="00CF742B" w:rsidRDefault="00C742E9" w:rsidP="00C742E9">
      <w:pPr>
        <w:rPr>
          <w:b/>
          <w:bCs/>
          <w:rtl/>
        </w:rPr>
      </w:pPr>
      <w:r w:rsidRPr="00CF742B">
        <w:rPr>
          <w:rFonts w:hint="cs"/>
          <w:b/>
          <w:bCs/>
          <w:rtl/>
        </w:rPr>
        <w:t>القول الأول: تقدير اليسير بالربع.</w:t>
      </w:r>
    </w:p>
    <w:p w14:paraId="1B373ED9" w14:textId="29DD66E9" w:rsidR="00C742E9" w:rsidRPr="00CF742B" w:rsidRDefault="00C742E9" w:rsidP="00C742E9">
      <w:pPr>
        <w:spacing w:after="120"/>
        <w:ind w:firstLine="567"/>
        <w:rPr>
          <w:rtl/>
        </w:rPr>
      </w:pPr>
      <w:r w:rsidRPr="00CF742B">
        <w:rPr>
          <w:rFonts w:hint="cs"/>
          <w:rtl/>
        </w:rPr>
        <w:t>ومن المعايير المعتبرة في التفريق بين اليسير والكثير؛ ما ذهب إليه الحنفية من اعتماد الربع حد</w:t>
      </w:r>
      <w:r w:rsidR="005F7C17">
        <w:rPr>
          <w:rFonts w:hint="cs"/>
          <w:rtl/>
        </w:rPr>
        <w:t>ًا</w:t>
      </w:r>
      <w:r w:rsidRPr="00CF742B">
        <w:rPr>
          <w:rFonts w:hint="cs"/>
          <w:rtl/>
        </w:rPr>
        <w:t xml:space="preserve"> فاصل</w:t>
      </w:r>
      <w:r w:rsidR="005F7C17">
        <w:rPr>
          <w:rFonts w:hint="cs"/>
          <w:rtl/>
        </w:rPr>
        <w:t>ًا</w:t>
      </w:r>
      <w:r w:rsidRPr="00CF742B">
        <w:rPr>
          <w:rFonts w:hint="cs"/>
          <w:rtl/>
        </w:rPr>
        <w:t xml:space="preserve"> في عدة مسائل، كقولهم: بأن مسح الرأس المجزئ في الوضوء ما كان ربع الرأس وأكثر، وأن ما دون الربع قليل لا يصح.</w:t>
      </w:r>
      <w:r w:rsidRPr="00CF742B">
        <w:rPr>
          <w:rStyle w:val="aa"/>
          <w:rtl/>
        </w:rPr>
        <w:t>(</w:t>
      </w:r>
      <w:r w:rsidRPr="00CF742B">
        <w:rPr>
          <w:rStyle w:val="aa"/>
          <w:rtl/>
        </w:rPr>
        <w:footnoteReference w:id="28"/>
      </w:r>
      <w:r w:rsidRPr="00CF742B">
        <w:rPr>
          <w:rStyle w:val="aa"/>
          <w:rtl/>
        </w:rPr>
        <w:t>)</w:t>
      </w:r>
    </w:p>
    <w:p w14:paraId="3172C055" w14:textId="77777777" w:rsidR="00C742E9" w:rsidRPr="00CF742B" w:rsidRDefault="00C742E9" w:rsidP="00C742E9">
      <w:pPr>
        <w:spacing w:after="120"/>
        <w:ind w:firstLine="567"/>
        <w:rPr>
          <w:b/>
          <w:bCs/>
          <w:rtl/>
        </w:rPr>
      </w:pPr>
      <w:r w:rsidRPr="00CF742B">
        <w:rPr>
          <w:rFonts w:hint="cs"/>
          <w:b/>
          <w:bCs/>
          <w:rtl/>
        </w:rPr>
        <w:lastRenderedPageBreak/>
        <w:t xml:space="preserve">ودليلهم: </w:t>
      </w:r>
    </w:p>
    <w:p w14:paraId="1A494AE2" w14:textId="5E1B59DA" w:rsidR="00C742E9" w:rsidRPr="00CF742B" w:rsidRDefault="00C742E9" w:rsidP="00C742E9">
      <w:pPr>
        <w:spacing w:after="120"/>
        <w:ind w:firstLine="567"/>
        <w:rPr>
          <w:rtl/>
        </w:rPr>
      </w:pPr>
      <w:r w:rsidRPr="00CF742B">
        <w:rPr>
          <w:rFonts w:hint="cs"/>
          <w:rtl/>
        </w:rPr>
        <w:t>ما</w:t>
      </w:r>
      <w:r w:rsidRPr="00CF742B">
        <w:rPr>
          <w:rtl/>
        </w:rPr>
        <w:t xml:space="preserve"> روى المغيرة بن شعبة</w:t>
      </w:r>
      <w:r w:rsidRPr="00CF742B">
        <w:rPr>
          <w:rFonts w:hint="cs"/>
          <w:rtl/>
        </w:rPr>
        <w:t xml:space="preserve"> </w:t>
      </w:r>
      <w:r w:rsidR="000B7965">
        <w:rPr>
          <w:rFonts w:ascii="ATraditional Arabic" w:hAnsi="ATraditional Arabic"/>
          <w:rtl/>
        </w:rPr>
        <w:t>رضي الله عنه</w:t>
      </w:r>
      <w:r w:rsidRPr="00CF742B">
        <w:rPr>
          <w:rFonts w:hint="cs"/>
          <w:rtl/>
        </w:rPr>
        <w:t>،</w:t>
      </w:r>
      <w:r w:rsidRPr="00CF742B">
        <w:rPr>
          <w:rtl/>
        </w:rPr>
        <w:t xml:space="preserve"> عن النبي </w:t>
      </w:r>
      <w:r w:rsidR="000B7965">
        <w:rPr>
          <w:rFonts w:hint="cs"/>
          <w:rtl/>
        </w:rPr>
        <w:t>صلى الله عليه وسلم</w:t>
      </w:r>
      <w:r w:rsidRPr="00CF742B">
        <w:rPr>
          <w:rFonts w:hint="cs"/>
          <w:rtl/>
        </w:rPr>
        <w:t>: (</w:t>
      </w:r>
      <w:r w:rsidRPr="00CF742B">
        <w:rPr>
          <w:rtl/>
        </w:rPr>
        <w:t xml:space="preserve">أنه توضأ، ومسح </w:t>
      </w:r>
      <w:r w:rsidRPr="00CF742B">
        <w:rPr>
          <w:rFonts w:hint="cs"/>
          <w:rtl/>
        </w:rPr>
        <w:t>ب</w:t>
      </w:r>
      <w:r w:rsidRPr="00CF742B">
        <w:rPr>
          <w:rtl/>
        </w:rPr>
        <w:t>ناصيته</w:t>
      </w:r>
      <w:r w:rsidRPr="00CF742B">
        <w:rPr>
          <w:rFonts w:hint="cs"/>
          <w:rtl/>
        </w:rPr>
        <w:t>).</w:t>
      </w:r>
      <w:r w:rsidRPr="00CF742B">
        <w:rPr>
          <w:rStyle w:val="aa"/>
          <w:rtl/>
        </w:rPr>
        <w:t>(</w:t>
      </w:r>
      <w:r w:rsidRPr="00CF742B">
        <w:rPr>
          <w:rStyle w:val="aa"/>
          <w:rtl/>
        </w:rPr>
        <w:footnoteReference w:id="29"/>
      </w:r>
      <w:r w:rsidRPr="00CF742B">
        <w:rPr>
          <w:rStyle w:val="aa"/>
          <w:rtl/>
        </w:rPr>
        <w:t>)</w:t>
      </w:r>
      <w:r w:rsidRPr="00CF742B">
        <w:rPr>
          <w:rtl/>
        </w:rPr>
        <w:t xml:space="preserve"> </w:t>
      </w:r>
    </w:p>
    <w:p w14:paraId="08CA76F4" w14:textId="77777777" w:rsidR="00C742E9" w:rsidRPr="00CF742B" w:rsidRDefault="00C742E9" w:rsidP="00C742E9">
      <w:pPr>
        <w:spacing w:after="120"/>
        <w:ind w:firstLine="567"/>
        <w:rPr>
          <w:b/>
          <w:bCs/>
          <w:rtl/>
        </w:rPr>
      </w:pPr>
      <w:r w:rsidRPr="00CF742B">
        <w:rPr>
          <w:rFonts w:hint="cs"/>
          <w:b/>
          <w:bCs/>
          <w:rtl/>
        </w:rPr>
        <w:t>وجه الدلالة:</w:t>
      </w:r>
    </w:p>
    <w:p w14:paraId="5A42209E" w14:textId="37E238AD" w:rsidR="00C742E9" w:rsidRPr="00CF742B" w:rsidRDefault="00C742E9" w:rsidP="00C742E9">
      <w:pPr>
        <w:spacing w:after="120"/>
        <w:ind w:firstLine="567"/>
        <w:rPr>
          <w:rtl/>
        </w:rPr>
      </w:pPr>
      <w:r w:rsidRPr="00CF742B">
        <w:rPr>
          <w:rFonts w:hint="cs"/>
          <w:rtl/>
        </w:rPr>
        <w:t>أن</w:t>
      </w:r>
      <w:r w:rsidRPr="00CF742B">
        <w:rPr>
          <w:rtl/>
        </w:rPr>
        <w:t xml:space="preserve"> </w:t>
      </w:r>
      <w:r w:rsidRPr="00CF742B">
        <w:rPr>
          <w:rFonts w:hint="cs"/>
          <w:rtl/>
        </w:rPr>
        <w:t xml:space="preserve">النبي </w:t>
      </w:r>
      <w:r w:rsidR="000B7965">
        <w:rPr>
          <w:rFonts w:hint="cs"/>
          <w:rtl/>
        </w:rPr>
        <w:t>صلى الله عليه وسلم</w:t>
      </w:r>
      <w:r w:rsidRPr="00CF742B">
        <w:rPr>
          <w:rFonts w:hint="cs"/>
          <w:rtl/>
        </w:rPr>
        <w:t xml:space="preserve"> قد مسح على الناصية،</w:t>
      </w:r>
      <w:r w:rsidRPr="00CF742B">
        <w:rPr>
          <w:rtl/>
        </w:rPr>
        <w:t xml:space="preserve"> </w:t>
      </w:r>
      <w:r w:rsidRPr="00CF742B">
        <w:rPr>
          <w:rFonts w:hint="cs"/>
          <w:rtl/>
        </w:rPr>
        <w:t>وهي ربع الرأس</w:t>
      </w:r>
      <w:r w:rsidRPr="00CF742B">
        <w:rPr>
          <w:rtl/>
        </w:rPr>
        <w:t>‌</w:t>
      </w:r>
      <w:r w:rsidRPr="00CF742B">
        <w:rPr>
          <w:rFonts w:hint="cs"/>
          <w:rtl/>
        </w:rPr>
        <w:t>،</w:t>
      </w:r>
      <w:r w:rsidRPr="00CF742B">
        <w:rPr>
          <w:rtl/>
        </w:rPr>
        <w:t xml:space="preserve"> فإن الرأس ناصية، وقذال، وفودان، ولأن ‌الربع </w:t>
      </w:r>
      <w:r w:rsidRPr="00CF742B">
        <w:rPr>
          <w:rFonts w:hint="cs"/>
          <w:rtl/>
        </w:rPr>
        <w:t xml:space="preserve">يقوم مقام الكل، </w:t>
      </w:r>
      <w:r w:rsidRPr="00CF742B">
        <w:rPr>
          <w:rtl/>
        </w:rPr>
        <w:t>فإن من رأى وجه إنسان يستجيز له أن يقول رأيت فلان</w:t>
      </w:r>
      <w:r w:rsidR="005F7C17">
        <w:rPr>
          <w:rtl/>
        </w:rPr>
        <w:t>ًا</w:t>
      </w:r>
      <w:r w:rsidRPr="00CF742B">
        <w:rPr>
          <w:rtl/>
        </w:rPr>
        <w:t>، وإنما رأى أحد</w:t>
      </w:r>
      <w:r w:rsidRPr="00CF742B">
        <w:rPr>
          <w:rFonts w:hint="cs"/>
          <w:rtl/>
        </w:rPr>
        <w:t xml:space="preserve"> </w:t>
      </w:r>
      <w:r w:rsidRPr="00CF742B">
        <w:rPr>
          <w:rtl/>
        </w:rPr>
        <w:t>جوانبه الأربعة</w:t>
      </w:r>
      <w:r w:rsidRPr="00CF742B">
        <w:rPr>
          <w:rFonts w:hint="cs"/>
          <w:rtl/>
        </w:rPr>
        <w:t>.</w:t>
      </w:r>
    </w:p>
    <w:p w14:paraId="35EA2D28" w14:textId="247DEB1F" w:rsidR="00C742E9" w:rsidRPr="00CF742B" w:rsidRDefault="00C742E9" w:rsidP="00C742E9">
      <w:pPr>
        <w:spacing w:after="120"/>
        <w:ind w:firstLine="567"/>
        <w:rPr>
          <w:rtl/>
        </w:rPr>
      </w:pPr>
      <w:r w:rsidRPr="00CF742B">
        <w:rPr>
          <w:rFonts w:hint="cs"/>
          <w:rtl/>
        </w:rPr>
        <w:t>و</w:t>
      </w:r>
      <w:r w:rsidRPr="00CF742B">
        <w:rPr>
          <w:rtl/>
        </w:rPr>
        <w:t xml:space="preserve">لو كان مسحُ ‌ربع الرأس ليس بمُجزء لم يَقتَصر </w:t>
      </w:r>
      <w:r w:rsidR="000B7965">
        <w:rPr>
          <w:rFonts w:hint="cs"/>
          <w:rtl/>
        </w:rPr>
        <w:t>صلى الله عليه وسلم</w:t>
      </w:r>
      <w:r w:rsidRPr="00CF742B">
        <w:rPr>
          <w:rFonts w:hint="cs"/>
          <w:rtl/>
        </w:rPr>
        <w:t xml:space="preserve"> </w:t>
      </w:r>
      <w:r w:rsidRPr="00CF742B">
        <w:rPr>
          <w:rtl/>
        </w:rPr>
        <w:t>في ذلك الوقت عليه، ولو كان مسحُ ما دونه مُجزِئ</w:t>
      </w:r>
      <w:r w:rsidR="005F7C17">
        <w:rPr>
          <w:rtl/>
        </w:rPr>
        <w:t>ًا</w:t>
      </w:r>
      <w:r w:rsidRPr="00CF742B">
        <w:rPr>
          <w:rtl/>
        </w:rPr>
        <w:t xml:space="preserve"> لَفعَلَه </w:t>
      </w:r>
      <w:r w:rsidR="000B7965">
        <w:rPr>
          <w:rFonts w:hint="cs"/>
          <w:rtl/>
        </w:rPr>
        <w:t>صلى الله عليه وسلم</w:t>
      </w:r>
      <w:r w:rsidRPr="00CF742B">
        <w:rPr>
          <w:rtl/>
        </w:rPr>
        <w:t xml:space="preserve"> ولو مر</w:t>
      </w:r>
      <w:r w:rsidRPr="00CF742B">
        <w:rPr>
          <w:rFonts w:hint="cs"/>
          <w:rtl/>
        </w:rPr>
        <w:t>ة</w:t>
      </w:r>
      <w:r w:rsidRPr="00CF742B">
        <w:rPr>
          <w:rtl/>
        </w:rPr>
        <w:t xml:space="preserve"> في عُمُرِه تعليم</w:t>
      </w:r>
      <w:r w:rsidR="005F7C17">
        <w:rPr>
          <w:rtl/>
        </w:rPr>
        <w:t>ًا</w:t>
      </w:r>
      <w:r w:rsidRPr="00CF742B">
        <w:rPr>
          <w:rtl/>
        </w:rPr>
        <w:t xml:space="preserve"> للجواز، إذ يجب عليه مثلُ ذلك</w:t>
      </w:r>
      <w:r w:rsidRPr="00CF742B">
        <w:rPr>
          <w:rFonts w:hint="cs"/>
          <w:rtl/>
        </w:rPr>
        <w:t>.</w:t>
      </w:r>
      <w:r w:rsidRPr="00CF742B">
        <w:rPr>
          <w:rStyle w:val="aa"/>
          <w:rtl/>
        </w:rPr>
        <w:t>(</w:t>
      </w:r>
      <w:r w:rsidRPr="00CF742B">
        <w:rPr>
          <w:rStyle w:val="aa"/>
          <w:rtl/>
        </w:rPr>
        <w:footnoteReference w:id="30"/>
      </w:r>
      <w:r w:rsidRPr="00CF742B">
        <w:rPr>
          <w:rStyle w:val="aa"/>
          <w:rtl/>
        </w:rPr>
        <w:t>)</w:t>
      </w:r>
      <w:r w:rsidRPr="00CF742B">
        <w:rPr>
          <w:rtl/>
        </w:rPr>
        <w:t xml:space="preserve"> </w:t>
      </w:r>
    </w:p>
    <w:p w14:paraId="73D3369D" w14:textId="7457327E" w:rsidR="00C742E9" w:rsidRPr="00CF742B" w:rsidRDefault="00C742E9" w:rsidP="00C742E9">
      <w:pPr>
        <w:spacing w:after="120"/>
        <w:ind w:firstLine="567"/>
        <w:rPr>
          <w:b/>
          <w:bCs/>
          <w:rtl/>
        </w:rPr>
      </w:pPr>
      <w:r w:rsidRPr="00CF742B">
        <w:rPr>
          <w:rFonts w:hint="cs"/>
          <w:b/>
          <w:bCs/>
          <w:rtl/>
        </w:rPr>
        <w:t>ومن مسائل التقدير بالربع قياس</w:t>
      </w:r>
      <w:r w:rsidR="005F7C17">
        <w:rPr>
          <w:rFonts w:hint="cs"/>
          <w:b/>
          <w:bCs/>
          <w:rtl/>
        </w:rPr>
        <w:t>ًا</w:t>
      </w:r>
      <w:r w:rsidRPr="00CF742B">
        <w:rPr>
          <w:rFonts w:hint="cs"/>
          <w:b/>
          <w:bCs/>
          <w:rtl/>
        </w:rPr>
        <w:t xml:space="preserve"> على المسألة السابقة:</w:t>
      </w:r>
    </w:p>
    <w:p w14:paraId="08E31222" w14:textId="36CF901A" w:rsidR="00C742E9" w:rsidRPr="00CF742B" w:rsidRDefault="00C742E9" w:rsidP="00C742E9">
      <w:pPr>
        <w:spacing w:after="120"/>
        <w:ind w:firstLine="567"/>
        <w:rPr>
          <w:rtl/>
        </w:rPr>
      </w:pPr>
      <w:r w:rsidRPr="00CF742B">
        <w:rPr>
          <w:rFonts w:hint="cs"/>
          <w:rtl/>
        </w:rPr>
        <w:t>ما ذهب إليه الحنفية في أن النجاسة المخففة إن لم تبلغ ربع المحل المتنجس؛ فإنها عفو</w:t>
      </w:r>
      <w:r w:rsidRPr="00CF742B">
        <w:rPr>
          <w:rStyle w:val="aa"/>
          <w:rtl/>
        </w:rPr>
        <w:t>(</w:t>
      </w:r>
      <w:r w:rsidRPr="00CF742B">
        <w:rPr>
          <w:rStyle w:val="aa"/>
          <w:rtl/>
        </w:rPr>
        <w:footnoteReference w:id="31"/>
      </w:r>
      <w:r w:rsidRPr="00CF742B">
        <w:rPr>
          <w:rStyle w:val="aa"/>
          <w:rtl/>
        </w:rPr>
        <w:t>)</w:t>
      </w:r>
      <w:r w:rsidRPr="00CF742B">
        <w:rPr>
          <w:rFonts w:hint="cs"/>
          <w:rtl/>
        </w:rPr>
        <w:t>،</w:t>
      </w:r>
      <w:r w:rsidRPr="00CF742B">
        <w:rPr>
          <w:rtl/>
        </w:rPr>
        <w:t xml:space="preserve"> </w:t>
      </w:r>
      <w:r w:rsidRPr="00CF742B">
        <w:rPr>
          <w:rFonts w:hint="cs"/>
          <w:rtl/>
        </w:rPr>
        <w:t>قال ابن نجيم: "</w:t>
      </w:r>
      <w:r w:rsidRPr="00CF742B">
        <w:rPr>
          <w:rtl/>
        </w:rPr>
        <w:t xml:space="preserve"> لكن لما كان الربع ملحق</w:t>
      </w:r>
      <w:r w:rsidR="005F7C17">
        <w:rPr>
          <w:rtl/>
        </w:rPr>
        <w:t>ًا</w:t>
      </w:r>
      <w:r w:rsidRPr="00CF742B">
        <w:rPr>
          <w:rtl/>
        </w:rPr>
        <w:t xml:space="preserve"> بالكل في بعض الأحكام كمسح الرأس وانكشاف ‌العورة</w:t>
      </w:r>
      <w:r w:rsidRPr="00CF742B">
        <w:rPr>
          <w:rFonts w:hint="cs"/>
          <w:rtl/>
        </w:rPr>
        <w:t>،</w:t>
      </w:r>
      <w:r w:rsidRPr="00CF742B">
        <w:rPr>
          <w:rtl/>
        </w:rPr>
        <w:t xml:space="preserve"> ألحق به هنا</w:t>
      </w:r>
      <w:r w:rsidRPr="00CF742B">
        <w:rPr>
          <w:rFonts w:hint="cs"/>
          <w:rtl/>
        </w:rPr>
        <w:t xml:space="preserve"> -يعني مسألة النجاسة المخففة-، </w:t>
      </w:r>
      <w:r w:rsidRPr="00CF742B">
        <w:rPr>
          <w:rtl/>
        </w:rPr>
        <w:t>وبالكل يحصل الاستفحاش فكذا بما قام مقامه</w:t>
      </w:r>
      <w:r w:rsidRPr="00CF742B">
        <w:rPr>
          <w:rFonts w:hint="cs"/>
          <w:rtl/>
        </w:rPr>
        <w:t>"</w:t>
      </w:r>
      <w:r w:rsidRPr="00CF742B">
        <w:rPr>
          <w:rStyle w:val="aa"/>
          <w:rtl/>
        </w:rPr>
        <w:t>(</w:t>
      </w:r>
      <w:r w:rsidRPr="00CF742B">
        <w:rPr>
          <w:rStyle w:val="aa"/>
          <w:rtl/>
        </w:rPr>
        <w:footnoteReference w:id="32"/>
      </w:r>
      <w:r w:rsidRPr="00CF742B">
        <w:rPr>
          <w:rStyle w:val="aa"/>
          <w:rtl/>
        </w:rPr>
        <w:t>)</w:t>
      </w:r>
      <w:r w:rsidRPr="00CF742B">
        <w:rPr>
          <w:rFonts w:hint="cs"/>
          <w:rtl/>
        </w:rPr>
        <w:t>.</w:t>
      </w:r>
    </w:p>
    <w:p w14:paraId="0A3B67D0" w14:textId="77777777" w:rsidR="00C742E9" w:rsidRPr="00CF742B" w:rsidRDefault="00C742E9" w:rsidP="00C742E9">
      <w:pPr>
        <w:spacing w:after="120"/>
        <w:ind w:firstLine="567"/>
        <w:rPr>
          <w:rtl/>
        </w:rPr>
      </w:pPr>
      <w:r w:rsidRPr="00CF742B">
        <w:rPr>
          <w:rFonts w:hint="cs"/>
          <w:rtl/>
        </w:rPr>
        <w:t>ومن المسائل</w:t>
      </w:r>
      <w:r w:rsidRPr="00CF742B">
        <w:rPr>
          <w:rtl/>
        </w:rPr>
        <w:t xml:space="preserve"> </w:t>
      </w:r>
      <w:r w:rsidRPr="00CF742B">
        <w:rPr>
          <w:rFonts w:hint="cs"/>
          <w:rtl/>
        </w:rPr>
        <w:t xml:space="preserve">ما جاء عند الحنفية في </w:t>
      </w:r>
      <w:r w:rsidRPr="00CF742B">
        <w:rPr>
          <w:rtl/>
        </w:rPr>
        <w:t>انكشاف الربع من ‌العورة في باب الصلاة أنه يمنع جواز الصلاة، وما دونه لا يمنع</w:t>
      </w:r>
      <w:r w:rsidRPr="00CF742B">
        <w:rPr>
          <w:rFonts w:hint="cs"/>
          <w:rtl/>
        </w:rPr>
        <w:t>.</w:t>
      </w:r>
      <w:r w:rsidRPr="00CF742B">
        <w:rPr>
          <w:rStyle w:val="aa"/>
          <w:rtl/>
        </w:rPr>
        <w:t>(</w:t>
      </w:r>
      <w:r w:rsidRPr="00CF742B">
        <w:rPr>
          <w:rStyle w:val="aa"/>
          <w:rtl/>
        </w:rPr>
        <w:footnoteReference w:id="33"/>
      </w:r>
      <w:r w:rsidRPr="00CF742B">
        <w:rPr>
          <w:rStyle w:val="aa"/>
          <w:rtl/>
        </w:rPr>
        <w:t>)</w:t>
      </w:r>
      <w:r w:rsidRPr="00CF742B">
        <w:rPr>
          <w:rtl/>
        </w:rPr>
        <w:t xml:space="preserve"> </w:t>
      </w:r>
    </w:p>
    <w:p w14:paraId="240A58A7" w14:textId="77777777" w:rsidR="00C742E9" w:rsidRPr="00CF742B" w:rsidRDefault="00C742E9" w:rsidP="00C742E9">
      <w:pPr>
        <w:spacing w:after="120"/>
        <w:ind w:firstLine="567"/>
        <w:rPr>
          <w:rtl/>
        </w:rPr>
      </w:pPr>
      <w:r w:rsidRPr="00CF742B">
        <w:rPr>
          <w:rFonts w:hint="cs"/>
          <w:rtl/>
        </w:rPr>
        <w:lastRenderedPageBreak/>
        <w:t>وكذلك مذهب الحنفية في أن حلق رأس المحرم في النسك لا يحل إلا بحلق ربع رأسه وأكثر.</w:t>
      </w:r>
      <w:r w:rsidRPr="00CF742B">
        <w:rPr>
          <w:rStyle w:val="aa"/>
          <w:rtl/>
        </w:rPr>
        <w:t>(</w:t>
      </w:r>
      <w:r w:rsidRPr="00CF742B">
        <w:rPr>
          <w:rStyle w:val="aa"/>
          <w:rtl/>
        </w:rPr>
        <w:footnoteReference w:id="34"/>
      </w:r>
      <w:r w:rsidRPr="00CF742B">
        <w:rPr>
          <w:rStyle w:val="aa"/>
          <w:rtl/>
        </w:rPr>
        <w:t>)</w:t>
      </w:r>
      <w:r w:rsidRPr="00CF742B">
        <w:rPr>
          <w:rtl/>
        </w:rPr>
        <w:t xml:space="preserve"> </w:t>
      </w:r>
    </w:p>
    <w:p w14:paraId="3BF7BA16" w14:textId="77777777" w:rsidR="00C742E9" w:rsidRPr="00CF742B" w:rsidRDefault="00C742E9" w:rsidP="00C742E9">
      <w:pPr>
        <w:spacing w:after="120"/>
        <w:ind w:firstLine="567"/>
        <w:rPr>
          <w:rtl/>
        </w:rPr>
      </w:pPr>
      <w:r w:rsidRPr="00CF742B">
        <w:rPr>
          <w:rFonts w:hint="cs"/>
          <w:rtl/>
        </w:rPr>
        <w:t xml:space="preserve">وكذا إذا ذهب الربع من </w:t>
      </w:r>
      <w:r w:rsidRPr="00CF742B">
        <w:rPr>
          <w:rtl/>
        </w:rPr>
        <w:t>أذن</w:t>
      </w:r>
      <w:r w:rsidRPr="00CF742B">
        <w:rPr>
          <w:rFonts w:hint="cs"/>
          <w:rtl/>
        </w:rPr>
        <w:t xml:space="preserve"> </w:t>
      </w:r>
      <w:r w:rsidRPr="00CF742B">
        <w:rPr>
          <w:rtl/>
        </w:rPr>
        <w:t xml:space="preserve">أو </w:t>
      </w:r>
      <w:r w:rsidRPr="00CF742B">
        <w:rPr>
          <w:rFonts w:hint="cs"/>
          <w:rtl/>
        </w:rPr>
        <w:t>إلية</w:t>
      </w:r>
      <w:r w:rsidRPr="00CF742B">
        <w:rPr>
          <w:rtl/>
        </w:rPr>
        <w:t xml:space="preserve"> أو عين</w:t>
      </w:r>
      <w:r w:rsidRPr="00CF742B">
        <w:rPr>
          <w:rFonts w:hint="cs"/>
          <w:rtl/>
        </w:rPr>
        <w:t xml:space="preserve"> الأضحية؛ فهو كثير، في رواية للحنفية.</w:t>
      </w:r>
      <w:r w:rsidRPr="00CF742B">
        <w:rPr>
          <w:rStyle w:val="aa"/>
          <w:rtl/>
        </w:rPr>
        <w:t>(</w:t>
      </w:r>
      <w:r w:rsidRPr="00CF742B">
        <w:rPr>
          <w:rStyle w:val="aa"/>
          <w:rtl/>
        </w:rPr>
        <w:footnoteReference w:id="35"/>
      </w:r>
      <w:r w:rsidRPr="00CF742B">
        <w:rPr>
          <w:rStyle w:val="aa"/>
          <w:rtl/>
        </w:rPr>
        <w:t>)</w:t>
      </w:r>
      <w:r w:rsidRPr="00CF742B">
        <w:rPr>
          <w:rtl/>
        </w:rPr>
        <w:t xml:space="preserve"> </w:t>
      </w:r>
    </w:p>
    <w:p w14:paraId="29AAB968" w14:textId="77777777" w:rsidR="00C742E9" w:rsidRPr="00CF742B" w:rsidRDefault="00C742E9" w:rsidP="00C742E9">
      <w:pPr>
        <w:rPr>
          <w:b/>
          <w:bCs/>
          <w:sz w:val="12"/>
          <w:szCs w:val="12"/>
          <w:rtl/>
        </w:rPr>
      </w:pPr>
    </w:p>
    <w:p w14:paraId="15979556" w14:textId="77777777" w:rsidR="00C742E9" w:rsidRPr="00CF742B" w:rsidRDefault="00C742E9" w:rsidP="00C742E9">
      <w:pPr>
        <w:rPr>
          <w:b/>
          <w:bCs/>
          <w:rtl/>
        </w:rPr>
      </w:pPr>
      <w:r w:rsidRPr="00CF742B">
        <w:rPr>
          <w:rFonts w:hint="cs"/>
          <w:b/>
          <w:bCs/>
          <w:rtl/>
        </w:rPr>
        <w:t>القول الثاني: تقدير اليسير بالثلث.</w:t>
      </w:r>
    </w:p>
    <w:p w14:paraId="7348D3D0" w14:textId="3DBD9861" w:rsidR="00C742E9" w:rsidRPr="00CF742B" w:rsidRDefault="00C742E9" w:rsidP="00C742E9">
      <w:pPr>
        <w:spacing w:after="120"/>
        <w:ind w:firstLine="567"/>
        <w:rPr>
          <w:rtl/>
        </w:rPr>
      </w:pPr>
      <w:r w:rsidRPr="00CF742B">
        <w:rPr>
          <w:rFonts w:hint="cs"/>
          <w:rtl/>
        </w:rPr>
        <w:t>ذهب الحنفية</w:t>
      </w:r>
      <w:r w:rsidRPr="00CF742B">
        <w:rPr>
          <w:rStyle w:val="aa"/>
          <w:rtl/>
        </w:rPr>
        <w:t>(</w:t>
      </w:r>
      <w:r w:rsidRPr="00CF742B">
        <w:rPr>
          <w:rStyle w:val="aa"/>
          <w:rtl/>
        </w:rPr>
        <w:footnoteReference w:id="36"/>
      </w:r>
      <w:r w:rsidRPr="00CF742B">
        <w:rPr>
          <w:rStyle w:val="aa"/>
          <w:rtl/>
        </w:rPr>
        <w:t>)</w:t>
      </w:r>
      <w:r w:rsidRPr="00CF742B">
        <w:rPr>
          <w:rFonts w:hint="cs"/>
          <w:rtl/>
        </w:rPr>
        <w:t xml:space="preserve"> والمالكية</w:t>
      </w:r>
      <w:r w:rsidRPr="00CF742B">
        <w:rPr>
          <w:rStyle w:val="aa"/>
          <w:rtl/>
        </w:rPr>
        <w:t>(</w:t>
      </w:r>
      <w:r w:rsidRPr="00CF742B">
        <w:rPr>
          <w:rStyle w:val="aa"/>
          <w:rtl/>
        </w:rPr>
        <w:footnoteReference w:id="37"/>
      </w:r>
      <w:r w:rsidRPr="00CF742B">
        <w:rPr>
          <w:rStyle w:val="aa"/>
          <w:rtl/>
        </w:rPr>
        <w:t>)</w:t>
      </w:r>
      <w:r w:rsidRPr="00CF742B">
        <w:rPr>
          <w:rFonts w:hint="cs"/>
          <w:rtl/>
        </w:rPr>
        <w:t xml:space="preserve"> والحنابلة</w:t>
      </w:r>
      <w:r w:rsidRPr="00CF742B">
        <w:rPr>
          <w:rStyle w:val="aa"/>
          <w:rtl/>
        </w:rPr>
        <w:t>(</w:t>
      </w:r>
      <w:r w:rsidRPr="00CF742B">
        <w:rPr>
          <w:rStyle w:val="aa"/>
          <w:rtl/>
        </w:rPr>
        <w:footnoteReference w:id="38"/>
      </w:r>
      <w:r w:rsidRPr="00CF742B">
        <w:rPr>
          <w:rStyle w:val="aa"/>
          <w:rtl/>
        </w:rPr>
        <w:t>)</w:t>
      </w:r>
      <w:r w:rsidRPr="00CF742B">
        <w:rPr>
          <w:rStyle w:val="aa"/>
          <w:rFonts w:hint="cs"/>
          <w:rtl/>
        </w:rPr>
        <w:t xml:space="preserve"> </w:t>
      </w:r>
      <w:r w:rsidRPr="00CF742B">
        <w:rPr>
          <w:rFonts w:hint="cs"/>
          <w:rtl/>
        </w:rPr>
        <w:t>إلى تقدير اليسير بالثلث، وجعلوه حد</w:t>
      </w:r>
      <w:r w:rsidR="005F7C17">
        <w:rPr>
          <w:rFonts w:hint="cs"/>
          <w:rtl/>
        </w:rPr>
        <w:t>ًا</w:t>
      </w:r>
      <w:r w:rsidRPr="00CF742B">
        <w:rPr>
          <w:rFonts w:hint="cs"/>
          <w:rtl/>
        </w:rPr>
        <w:t xml:space="preserve"> يرجعون إليه في مسائل معينة، فاعتبروا ما دونه يسير</w:t>
      </w:r>
      <w:r w:rsidR="005F7C17">
        <w:rPr>
          <w:rFonts w:hint="cs"/>
          <w:rtl/>
        </w:rPr>
        <w:t>ًا</w:t>
      </w:r>
      <w:r w:rsidRPr="00CF742B">
        <w:rPr>
          <w:rFonts w:hint="cs"/>
          <w:rtl/>
        </w:rPr>
        <w:t>، وما زاد عنه كثير</w:t>
      </w:r>
      <w:r w:rsidR="005F7C17">
        <w:rPr>
          <w:rFonts w:hint="cs"/>
          <w:rtl/>
        </w:rPr>
        <w:t>ًا</w:t>
      </w:r>
      <w:r w:rsidRPr="00CF742B">
        <w:rPr>
          <w:rStyle w:val="aa"/>
          <w:rtl/>
        </w:rPr>
        <w:t>(</w:t>
      </w:r>
      <w:r w:rsidRPr="00CF742B">
        <w:rPr>
          <w:rStyle w:val="aa"/>
          <w:rtl/>
        </w:rPr>
        <w:footnoteReference w:id="39"/>
      </w:r>
      <w:r w:rsidRPr="00CF742B">
        <w:rPr>
          <w:rStyle w:val="aa"/>
          <w:rtl/>
        </w:rPr>
        <w:t>)</w:t>
      </w:r>
      <w:r w:rsidRPr="00CF742B">
        <w:rPr>
          <w:rFonts w:hint="cs"/>
          <w:rtl/>
        </w:rPr>
        <w:t>، كما قال العدوي المالكي: "</w:t>
      </w:r>
      <w:r w:rsidRPr="00CF742B">
        <w:rPr>
          <w:rtl/>
        </w:rPr>
        <w:t>والمراد بالقليل ما دون الثلث</w:t>
      </w:r>
      <w:r w:rsidRPr="00CF742B">
        <w:rPr>
          <w:rFonts w:hint="cs"/>
          <w:rtl/>
        </w:rPr>
        <w:t>،</w:t>
      </w:r>
      <w:r w:rsidRPr="00CF742B">
        <w:rPr>
          <w:rtl/>
        </w:rPr>
        <w:t xml:space="preserve"> والكثير الثلث فأكثر؛ لأن ‌الثلث ‌من ‌حيز الكثير في غالب المسائل</w:t>
      </w:r>
      <w:r w:rsidRPr="00CF742B">
        <w:rPr>
          <w:rFonts w:hint="cs"/>
          <w:rtl/>
        </w:rPr>
        <w:t>"</w:t>
      </w:r>
      <w:r w:rsidRPr="00CF742B">
        <w:rPr>
          <w:rStyle w:val="aa"/>
          <w:rtl/>
        </w:rPr>
        <w:t>(</w:t>
      </w:r>
      <w:r w:rsidRPr="00CF742B">
        <w:rPr>
          <w:rStyle w:val="aa"/>
          <w:rtl/>
        </w:rPr>
        <w:footnoteReference w:id="40"/>
      </w:r>
      <w:r w:rsidRPr="00CF742B">
        <w:rPr>
          <w:rStyle w:val="aa"/>
          <w:rtl/>
        </w:rPr>
        <w:t>)</w:t>
      </w:r>
      <w:r w:rsidRPr="00CF742B">
        <w:rPr>
          <w:rFonts w:hint="cs"/>
          <w:rtl/>
        </w:rPr>
        <w:t>، والمالكية أكثر هذه المذاهب عمل</w:t>
      </w:r>
      <w:r w:rsidR="005F7C17">
        <w:rPr>
          <w:rFonts w:hint="cs"/>
          <w:rtl/>
        </w:rPr>
        <w:t>ًا</w:t>
      </w:r>
      <w:r w:rsidRPr="00CF742B">
        <w:rPr>
          <w:rFonts w:hint="cs"/>
          <w:rtl/>
        </w:rPr>
        <w:t xml:space="preserve"> بهذا القول.</w:t>
      </w:r>
    </w:p>
    <w:p w14:paraId="4BF2CF05" w14:textId="79D671CE" w:rsidR="00C742E9" w:rsidRPr="00CF742B" w:rsidRDefault="00C742E9" w:rsidP="00C742E9">
      <w:pPr>
        <w:spacing w:after="120"/>
        <w:ind w:firstLine="567"/>
        <w:rPr>
          <w:rtl/>
        </w:rPr>
      </w:pPr>
      <w:r w:rsidRPr="00CF742B">
        <w:rPr>
          <w:rFonts w:hint="cs"/>
          <w:rtl/>
        </w:rPr>
        <w:t xml:space="preserve">ومن أظهر أدلة القائلين بهذا القول؛ حديث سعد </w:t>
      </w:r>
      <w:r w:rsidR="000B7965">
        <w:rPr>
          <w:rFonts w:ascii="ATraditional Arabic" w:hAnsi="ATraditional Arabic"/>
          <w:rtl/>
        </w:rPr>
        <w:t>رضي الله عنه</w:t>
      </w:r>
      <w:r w:rsidRPr="00CF742B">
        <w:rPr>
          <w:rFonts w:hint="cs"/>
          <w:rtl/>
        </w:rPr>
        <w:t xml:space="preserve"> في الوصية حين قال له النبي </w:t>
      </w:r>
      <w:r w:rsidR="000B7965">
        <w:rPr>
          <w:rFonts w:hint="cs"/>
          <w:rtl/>
        </w:rPr>
        <w:t>صلى الله عليه وسلم</w:t>
      </w:r>
      <w:r w:rsidRPr="00CF742B">
        <w:rPr>
          <w:rFonts w:hint="cs"/>
          <w:rtl/>
        </w:rPr>
        <w:t>: (الثلث، والثلث كثير).</w:t>
      </w:r>
      <w:r w:rsidRPr="00CF742B">
        <w:rPr>
          <w:rStyle w:val="aa"/>
          <w:rtl/>
        </w:rPr>
        <w:t>(</w:t>
      </w:r>
      <w:r w:rsidRPr="00CF742B">
        <w:rPr>
          <w:rStyle w:val="aa"/>
          <w:rtl/>
        </w:rPr>
        <w:footnoteReference w:id="41"/>
      </w:r>
      <w:r w:rsidRPr="00CF742B">
        <w:rPr>
          <w:rStyle w:val="aa"/>
          <w:rtl/>
        </w:rPr>
        <w:t>)</w:t>
      </w:r>
    </w:p>
    <w:p w14:paraId="3CFCC16B" w14:textId="47E6C1BD" w:rsidR="00C742E9" w:rsidRPr="00CF742B" w:rsidRDefault="00C742E9" w:rsidP="00C742E9">
      <w:pPr>
        <w:spacing w:after="120"/>
        <w:ind w:firstLine="567"/>
        <w:rPr>
          <w:rtl/>
        </w:rPr>
      </w:pPr>
      <w:r w:rsidRPr="00CF742B">
        <w:rPr>
          <w:rFonts w:hint="cs"/>
          <w:rtl/>
        </w:rPr>
        <w:t>فمن هذا الحديث انطلقوا في جعل الثلث معيار</w:t>
      </w:r>
      <w:r w:rsidR="005F7C17">
        <w:rPr>
          <w:rFonts w:hint="cs"/>
          <w:rtl/>
        </w:rPr>
        <w:t>ًا</w:t>
      </w:r>
      <w:r w:rsidRPr="00CF742B">
        <w:rPr>
          <w:rFonts w:hint="cs"/>
          <w:rtl/>
        </w:rPr>
        <w:t xml:space="preserve"> ضابط</w:t>
      </w:r>
      <w:r w:rsidR="005F7C17">
        <w:rPr>
          <w:rFonts w:hint="cs"/>
          <w:rtl/>
        </w:rPr>
        <w:t>ًا</w:t>
      </w:r>
      <w:r w:rsidRPr="00CF742B">
        <w:rPr>
          <w:rFonts w:hint="cs"/>
          <w:rtl/>
        </w:rPr>
        <w:t xml:space="preserve"> لتمييز الكثير من اليسير، فاعتبروه في مسائل كثيرة</w:t>
      </w:r>
      <w:r w:rsidRPr="00CF742B">
        <w:rPr>
          <w:rStyle w:val="aa"/>
          <w:rtl/>
        </w:rPr>
        <w:t>(</w:t>
      </w:r>
      <w:r w:rsidRPr="00CF742B">
        <w:rPr>
          <w:rStyle w:val="aa"/>
          <w:rtl/>
        </w:rPr>
        <w:footnoteReference w:id="42"/>
      </w:r>
      <w:r w:rsidRPr="00CF742B">
        <w:rPr>
          <w:rStyle w:val="aa"/>
          <w:rtl/>
        </w:rPr>
        <w:t>)</w:t>
      </w:r>
      <w:r w:rsidRPr="00CF742B">
        <w:rPr>
          <w:rFonts w:hint="cs"/>
          <w:rtl/>
        </w:rPr>
        <w:t>، قال ابن قدامة: "</w:t>
      </w:r>
      <w:r w:rsidRPr="00CF742B">
        <w:rPr>
          <w:rtl/>
        </w:rPr>
        <w:t>والثلث قد رأينا الشرع اعتبره في مواضع</w:t>
      </w:r>
      <w:r w:rsidRPr="00CF742B">
        <w:rPr>
          <w:rFonts w:hint="cs"/>
          <w:rtl/>
        </w:rPr>
        <w:t>،</w:t>
      </w:r>
      <w:r w:rsidRPr="00CF742B">
        <w:rPr>
          <w:rtl/>
        </w:rPr>
        <w:t xml:space="preserve"> منها</w:t>
      </w:r>
      <w:r w:rsidRPr="00CF742B">
        <w:rPr>
          <w:rFonts w:hint="cs"/>
          <w:rtl/>
        </w:rPr>
        <w:t>:</w:t>
      </w:r>
      <w:r w:rsidRPr="00CF742B">
        <w:rPr>
          <w:rtl/>
        </w:rPr>
        <w:t xml:space="preserve"> </w:t>
      </w:r>
      <w:r w:rsidRPr="00CF742B">
        <w:rPr>
          <w:rtl/>
        </w:rPr>
        <w:lastRenderedPageBreak/>
        <w:t>الوصية، وعطايا المريض، وتساوي جراح المرأة جراح الرجل إلى الثلث</w:t>
      </w:r>
      <w:r w:rsidRPr="00CF742B">
        <w:rPr>
          <w:rFonts w:hint="cs"/>
          <w:rtl/>
        </w:rPr>
        <w:t xml:space="preserve">، </w:t>
      </w:r>
      <w:r w:rsidRPr="00CF742B">
        <w:rPr>
          <w:rtl/>
        </w:rPr>
        <w:t>قال الأثرم: قال أحمد: إنهم يستعملون الثلث في سبع عشرة مسألة</w:t>
      </w:r>
      <w:r w:rsidRPr="00CF742B">
        <w:rPr>
          <w:rFonts w:hint="cs"/>
          <w:rtl/>
        </w:rPr>
        <w:t>،</w:t>
      </w:r>
      <w:r w:rsidRPr="00CF742B">
        <w:rPr>
          <w:rtl/>
        </w:rPr>
        <w:t xml:space="preserve"> ولأن الثلث في حد الكثرة، وما دونه في حد القلة، بدليل قول النبي </w:t>
      </w:r>
      <w:r w:rsidR="000B7965">
        <w:rPr>
          <w:rFonts w:hint="cs"/>
          <w:rtl/>
        </w:rPr>
        <w:t>صلى الله عليه وسلم</w:t>
      </w:r>
      <w:r w:rsidRPr="00CF742B">
        <w:rPr>
          <w:rtl/>
        </w:rPr>
        <w:t xml:space="preserve"> في الوصية: (الثلث، والثلث كثير)</w:t>
      </w:r>
      <w:r w:rsidRPr="00CF742B">
        <w:rPr>
          <w:rFonts w:hint="cs"/>
          <w:rtl/>
        </w:rPr>
        <w:t xml:space="preserve">، </w:t>
      </w:r>
      <w:r w:rsidRPr="00CF742B">
        <w:rPr>
          <w:rtl/>
        </w:rPr>
        <w:t>فيدل هذا على أنه آخر حد الكثرة، فلهذا ق</w:t>
      </w:r>
      <w:r w:rsidRPr="00CF742B">
        <w:rPr>
          <w:rFonts w:hint="cs"/>
          <w:rtl/>
        </w:rPr>
        <w:t>ُ</w:t>
      </w:r>
      <w:r w:rsidRPr="00CF742B">
        <w:rPr>
          <w:rtl/>
        </w:rPr>
        <w:t>د</w:t>
      </w:r>
      <w:r w:rsidRPr="00CF742B">
        <w:rPr>
          <w:rFonts w:hint="cs"/>
          <w:rtl/>
        </w:rPr>
        <w:t>ّ</w:t>
      </w:r>
      <w:r w:rsidRPr="00CF742B">
        <w:rPr>
          <w:rtl/>
        </w:rPr>
        <w:t>ر به</w:t>
      </w:r>
      <w:r w:rsidRPr="00CF742B">
        <w:rPr>
          <w:rFonts w:hint="cs"/>
          <w:rtl/>
        </w:rPr>
        <w:t>".</w:t>
      </w:r>
      <w:r w:rsidRPr="00CF742B">
        <w:rPr>
          <w:rStyle w:val="aa"/>
          <w:rtl/>
        </w:rPr>
        <w:t>(</w:t>
      </w:r>
      <w:r w:rsidRPr="00CF742B">
        <w:rPr>
          <w:rStyle w:val="aa"/>
          <w:rtl/>
        </w:rPr>
        <w:footnoteReference w:id="43"/>
      </w:r>
      <w:r w:rsidRPr="00CF742B">
        <w:rPr>
          <w:rStyle w:val="aa"/>
          <w:rtl/>
        </w:rPr>
        <w:t>)</w:t>
      </w:r>
      <w:r w:rsidRPr="00CF742B">
        <w:rPr>
          <w:rtl/>
        </w:rPr>
        <w:t xml:space="preserve"> </w:t>
      </w:r>
    </w:p>
    <w:p w14:paraId="4794EE1A" w14:textId="77777777" w:rsidR="00C742E9" w:rsidRPr="00CF742B" w:rsidRDefault="00C742E9" w:rsidP="00C742E9">
      <w:pPr>
        <w:spacing w:after="120"/>
        <w:ind w:firstLine="567"/>
        <w:rPr>
          <w:rtl/>
        </w:rPr>
      </w:pPr>
      <w:r w:rsidRPr="00CF742B">
        <w:rPr>
          <w:rFonts w:hint="cs"/>
          <w:rtl/>
        </w:rPr>
        <w:t>ومن ذلك اعتبار صحة المسح على الرأس بألا يقل عن ثلث الرأس، في رواية للمالكية</w:t>
      </w:r>
      <w:r w:rsidRPr="00CF742B">
        <w:rPr>
          <w:rStyle w:val="aa"/>
          <w:rtl/>
        </w:rPr>
        <w:t>(</w:t>
      </w:r>
      <w:r w:rsidRPr="00CF742B">
        <w:rPr>
          <w:rStyle w:val="aa"/>
          <w:rtl/>
        </w:rPr>
        <w:footnoteReference w:id="44"/>
      </w:r>
      <w:r w:rsidRPr="00CF742B">
        <w:rPr>
          <w:rStyle w:val="aa"/>
          <w:rtl/>
        </w:rPr>
        <w:t>)</w:t>
      </w:r>
      <w:r w:rsidRPr="00CF742B">
        <w:rPr>
          <w:rFonts w:hint="cs"/>
          <w:rtl/>
        </w:rPr>
        <w:t xml:space="preserve"> ورواية عند الحنابلة</w:t>
      </w:r>
      <w:r w:rsidRPr="00CF742B">
        <w:rPr>
          <w:rStyle w:val="aa"/>
          <w:rtl/>
        </w:rPr>
        <w:t>(</w:t>
      </w:r>
      <w:r w:rsidRPr="00CF742B">
        <w:rPr>
          <w:rStyle w:val="aa"/>
          <w:rtl/>
        </w:rPr>
        <w:footnoteReference w:id="45"/>
      </w:r>
      <w:r w:rsidRPr="00CF742B">
        <w:rPr>
          <w:rStyle w:val="aa"/>
          <w:rtl/>
        </w:rPr>
        <w:t>)</w:t>
      </w:r>
      <w:r w:rsidRPr="00CF742B">
        <w:rPr>
          <w:rFonts w:hint="cs"/>
          <w:rtl/>
        </w:rPr>
        <w:t>.</w:t>
      </w:r>
    </w:p>
    <w:p w14:paraId="377F392E" w14:textId="77777777" w:rsidR="00C742E9" w:rsidRPr="00CF742B" w:rsidRDefault="00C742E9" w:rsidP="00C742E9">
      <w:pPr>
        <w:spacing w:after="120"/>
        <w:ind w:firstLine="567"/>
        <w:rPr>
          <w:rtl/>
        </w:rPr>
      </w:pPr>
      <w:r w:rsidRPr="00CF742B">
        <w:rPr>
          <w:rFonts w:hint="cs"/>
          <w:rtl/>
        </w:rPr>
        <w:t>ومن مسائل الثلث؛ اشتراط المالكية لصحة المسح على الخفين المخرقين، ألا يزيد الخرق على قدر ثلث القدم، لأن ما زاد على الثلث فهو كثير.</w:t>
      </w:r>
      <w:r w:rsidRPr="00CF742B">
        <w:rPr>
          <w:rStyle w:val="aa"/>
          <w:rtl/>
        </w:rPr>
        <w:t>(</w:t>
      </w:r>
      <w:r w:rsidRPr="00CF742B">
        <w:rPr>
          <w:rStyle w:val="aa"/>
          <w:rtl/>
        </w:rPr>
        <w:footnoteReference w:id="46"/>
      </w:r>
      <w:r w:rsidRPr="00CF742B">
        <w:rPr>
          <w:rStyle w:val="aa"/>
          <w:rtl/>
        </w:rPr>
        <w:t>)</w:t>
      </w:r>
      <w:r w:rsidRPr="00CF742B">
        <w:rPr>
          <w:rtl/>
        </w:rPr>
        <w:t xml:space="preserve"> </w:t>
      </w:r>
    </w:p>
    <w:p w14:paraId="26C17C78" w14:textId="429AD90C" w:rsidR="00C742E9" w:rsidRPr="00CF742B" w:rsidRDefault="00C742E9" w:rsidP="00C742E9">
      <w:pPr>
        <w:spacing w:after="120"/>
        <w:ind w:firstLine="567"/>
        <w:rPr>
          <w:rtl/>
        </w:rPr>
      </w:pPr>
      <w:r w:rsidRPr="00CF742B">
        <w:rPr>
          <w:rFonts w:hint="cs"/>
          <w:rtl/>
        </w:rPr>
        <w:t>ومن المسائل ما ذهب إليه الحنفية</w:t>
      </w:r>
      <w:r w:rsidRPr="00CF742B">
        <w:rPr>
          <w:rStyle w:val="aa"/>
          <w:rtl/>
        </w:rPr>
        <w:t>(</w:t>
      </w:r>
      <w:r w:rsidRPr="00CF742B">
        <w:rPr>
          <w:rStyle w:val="aa"/>
          <w:rtl/>
        </w:rPr>
        <w:footnoteReference w:id="47"/>
      </w:r>
      <w:r w:rsidRPr="00CF742B">
        <w:rPr>
          <w:rStyle w:val="aa"/>
          <w:rtl/>
        </w:rPr>
        <w:t>)</w:t>
      </w:r>
      <w:r w:rsidRPr="00CF742B">
        <w:rPr>
          <w:rtl/>
        </w:rPr>
        <w:t xml:space="preserve"> </w:t>
      </w:r>
      <w:r w:rsidRPr="00CF742B">
        <w:rPr>
          <w:rFonts w:hint="cs"/>
          <w:rtl/>
        </w:rPr>
        <w:t>والمالكية</w:t>
      </w:r>
      <w:r w:rsidRPr="00CF742B">
        <w:rPr>
          <w:rStyle w:val="aa"/>
          <w:rtl/>
        </w:rPr>
        <w:t>(</w:t>
      </w:r>
      <w:r w:rsidRPr="00CF742B">
        <w:rPr>
          <w:rStyle w:val="aa"/>
          <w:rtl/>
        </w:rPr>
        <w:footnoteReference w:id="48"/>
      </w:r>
      <w:r w:rsidRPr="00CF742B">
        <w:rPr>
          <w:rStyle w:val="aa"/>
          <w:rtl/>
        </w:rPr>
        <w:t>)</w:t>
      </w:r>
      <w:r w:rsidRPr="00CF742B">
        <w:rPr>
          <w:rFonts w:hint="cs"/>
          <w:rtl/>
        </w:rPr>
        <w:t xml:space="preserve"> فيما لو ذهب من الأضحية </w:t>
      </w:r>
      <w:r w:rsidRPr="00CF742B">
        <w:rPr>
          <w:rtl/>
        </w:rPr>
        <w:t xml:space="preserve">بعض </w:t>
      </w:r>
      <w:r w:rsidRPr="00CF742B">
        <w:rPr>
          <w:rFonts w:hint="cs"/>
          <w:rtl/>
        </w:rPr>
        <w:t>الأذن</w:t>
      </w:r>
      <w:r w:rsidRPr="00CF742B">
        <w:rPr>
          <w:rtl/>
        </w:rPr>
        <w:t xml:space="preserve"> أو الألية أو العين</w:t>
      </w:r>
      <w:r w:rsidRPr="00CF742B">
        <w:rPr>
          <w:rFonts w:hint="cs"/>
          <w:rtl/>
        </w:rPr>
        <w:t>،</w:t>
      </w:r>
      <w:r w:rsidRPr="00CF742B">
        <w:rPr>
          <w:rtl/>
        </w:rPr>
        <w:t xml:space="preserve"> </w:t>
      </w:r>
      <w:r w:rsidRPr="00CF742B">
        <w:rPr>
          <w:rFonts w:hint="cs"/>
          <w:rtl/>
        </w:rPr>
        <w:t>فمنعوا ما كان كثير</w:t>
      </w:r>
      <w:r w:rsidR="005F7C17">
        <w:rPr>
          <w:rFonts w:hint="cs"/>
          <w:rtl/>
        </w:rPr>
        <w:t>ًا</w:t>
      </w:r>
      <w:r w:rsidRPr="00CF742B">
        <w:rPr>
          <w:rFonts w:hint="cs"/>
          <w:rtl/>
        </w:rPr>
        <w:t>، وجعلوا العيب المجاوز للثلث كثير، وما دونه يسير.</w:t>
      </w:r>
      <w:r w:rsidRPr="00CF742B">
        <w:rPr>
          <w:rtl/>
        </w:rPr>
        <w:t xml:space="preserve"> </w:t>
      </w:r>
    </w:p>
    <w:p w14:paraId="67D0CA81" w14:textId="22106DFA" w:rsidR="00C742E9" w:rsidRPr="00CF742B" w:rsidRDefault="00C742E9" w:rsidP="00C742E9">
      <w:pPr>
        <w:spacing w:after="120"/>
        <w:ind w:firstLine="567"/>
        <w:rPr>
          <w:rtl/>
        </w:rPr>
      </w:pPr>
      <w:r w:rsidRPr="00CF742B">
        <w:rPr>
          <w:rFonts w:hint="cs"/>
          <w:rtl/>
        </w:rPr>
        <w:t>وكذلك ما جاء في رواية للمالكية، في جعل الثلث حد</w:t>
      </w:r>
      <w:r w:rsidR="005F7C17">
        <w:rPr>
          <w:rFonts w:hint="cs"/>
          <w:rtl/>
        </w:rPr>
        <w:t>ًا</w:t>
      </w:r>
      <w:r w:rsidRPr="00CF742B">
        <w:rPr>
          <w:rFonts w:hint="cs"/>
          <w:rtl/>
        </w:rPr>
        <w:t xml:space="preserve"> بين الغبن اليسير والكثير الموجب للخيار، فما لم يجاوز الثلث فهو يسير، وإن زاد على الثلث فللمغبون الخيار.</w:t>
      </w:r>
      <w:r w:rsidRPr="00CF742B">
        <w:rPr>
          <w:rStyle w:val="aa"/>
          <w:rtl/>
        </w:rPr>
        <w:t>(</w:t>
      </w:r>
      <w:r w:rsidRPr="00CF742B">
        <w:rPr>
          <w:rStyle w:val="aa"/>
          <w:rtl/>
        </w:rPr>
        <w:footnoteReference w:id="49"/>
      </w:r>
      <w:r w:rsidRPr="00CF742B">
        <w:rPr>
          <w:rStyle w:val="aa"/>
          <w:rtl/>
        </w:rPr>
        <w:t>)</w:t>
      </w:r>
    </w:p>
    <w:p w14:paraId="4FF59892" w14:textId="77777777" w:rsidR="00C742E9" w:rsidRPr="00CF742B" w:rsidRDefault="00C742E9" w:rsidP="00C742E9">
      <w:pPr>
        <w:spacing w:after="120"/>
        <w:ind w:firstLine="567"/>
        <w:rPr>
          <w:rtl/>
        </w:rPr>
      </w:pPr>
      <w:r w:rsidRPr="00CF742B">
        <w:rPr>
          <w:rFonts w:hint="cs"/>
          <w:rtl/>
        </w:rPr>
        <w:lastRenderedPageBreak/>
        <w:t>ومن ذلك ما ذهب إليه المالكية</w:t>
      </w:r>
      <w:r w:rsidRPr="00CF742B">
        <w:rPr>
          <w:rStyle w:val="aa"/>
          <w:rtl/>
        </w:rPr>
        <w:t>(</w:t>
      </w:r>
      <w:r w:rsidRPr="00CF742B">
        <w:rPr>
          <w:rStyle w:val="aa"/>
          <w:rtl/>
        </w:rPr>
        <w:footnoteReference w:id="50"/>
      </w:r>
      <w:r w:rsidRPr="00CF742B">
        <w:rPr>
          <w:rStyle w:val="aa"/>
          <w:rtl/>
        </w:rPr>
        <w:t>)</w:t>
      </w:r>
      <w:r w:rsidRPr="00CF742B">
        <w:rPr>
          <w:rFonts w:hint="cs"/>
          <w:rtl/>
        </w:rPr>
        <w:t>، والحنابلة في رواية لهم</w:t>
      </w:r>
      <w:r w:rsidRPr="00CF742B">
        <w:rPr>
          <w:rStyle w:val="aa"/>
          <w:rtl/>
        </w:rPr>
        <w:t>(</w:t>
      </w:r>
      <w:r w:rsidRPr="00CF742B">
        <w:rPr>
          <w:rStyle w:val="aa"/>
          <w:rtl/>
        </w:rPr>
        <w:footnoteReference w:id="51"/>
      </w:r>
      <w:r w:rsidRPr="00CF742B">
        <w:rPr>
          <w:rStyle w:val="aa"/>
          <w:rtl/>
        </w:rPr>
        <w:t>)</w:t>
      </w:r>
      <w:r w:rsidRPr="00CF742B">
        <w:rPr>
          <w:rFonts w:hint="cs"/>
          <w:rtl/>
        </w:rPr>
        <w:t xml:space="preserve"> إلى تحديد الجائحة القليل منها والكثير،</w:t>
      </w:r>
      <w:r w:rsidRPr="00CF742B">
        <w:rPr>
          <w:rtl/>
        </w:rPr>
        <w:t xml:space="preserve"> فإنه يوضع فيها عن البائع ‌الثلث فأكثر، وما دون ‌الثلث مصيبة منه</w:t>
      </w:r>
      <w:r w:rsidRPr="00CF742B">
        <w:rPr>
          <w:rFonts w:hint="cs"/>
          <w:rtl/>
        </w:rPr>
        <w:t>، فعن مالك: "أن البقل إذا بلغت جائحته الثلث وُضع عن المشتري، وإن لم تبلغ الثلث لم يوضع عنه شيء"</w:t>
      </w:r>
      <w:r w:rsidRPr="00CF742B">
        <w:rPr>
          <w:rStyle w:val="aa"/>
          <w:rtl/>
        </w:rPr>
        <w:t>(</w:t>
      </w:r>
      <w:r w:rsidRPr="00CF742B">
        <w:rPr>
          <w:rStyle w:val="aa"/>
          <w:rtl/>
        </w:rPr>
        <w:footnoteReference w:id="52"/>
      </w:r>
      <w:r w:rsidRPr="00CF742B">
        <w:rPr>
          <w:rStyle w:val="aa"/>
          <w:rtl/>
        </w:rPr>
        <w:t>)</w:t>
      </w:r>
      <w:r w:rsidRPr="00CF742B">
        <w:rPr>
          <w:rFonts w:hint="cs"/>
          <w:rtl/>
        </w:rPr>
        <w:t>.</w:t>
      </w:r>
    </w:p>
    <w:p w14:paraId="1BEAED7C" w14:textId="03BAA4C9" w:rsidR="00C742E9" w:rsidRPr="00CF742B" w:rsidRDefault="00C742E9" w:rsidP="00C742E9">
      <w:pPr>
        <w:spacing w:after="120"/>
        <w:ind w:firstLine="567"/>
        <w:rPr>
          <w:rtl/>
        </w:rPr>
      </w:pPr>
      <w:r w:rsidRPr="00CF742B">
        <w:rPr>
          <w:rFonts w:hint="cs"/>
          <w:rtl/>
        </w:rPr>
        <w:t>وأيض</w:t>
      </w:r>
      <w:r w:rsidR="005F7C17">
        <w:rPr>
          <w:rFonts w:hint="cs"/>
          <w:rtl/>
        </w:rPr>
        <w:t>ًا</w:t>
      </w:r>
      <w:r w:rsidRPr="00CF742B">
        <w:rPr>
          <w:rFonts w:hint="cs"/>
          <w:rtl/>
        </w:rPr>
        <w:t xml:space="preserve"> ما ذهب إليه الحنابلة في حمل العاقلة إذا كان </w:t>
      </w:r>
      <w:r w:rsidRPr="00CF742B">
        <w:rPr>
          <w:rtl/>
        </w:rPr>
        <w:t>الواجب أقل من ثلث الدية</w:t>
      </w:r>
      <w:r w:rsidRPr="00CF742B">
        <w:rPr>
          <w:rFonts w:hint="cs"/>
          <w:rtl/>
        </w:rPr>
        <w:t xml:space="preserve"> أنها لا تحمل منه شيئ</w:t>
      </w:r>
      <w:r w:rsidR="005F7C17">
        <w:rPr>
          <w:rFonts w:hint="cs"/>
          <w:rtl/>
        </w:rPr>
        <w:t>ًا</w:t>
      </w:r>
      <w:r w:rsidRPr="00CF742B">
        <w:rPr>
          <w:rFonts w:hint="cs"/>
          <w:rtl/>
        </w:rPr>
        <w:t xml:space="preserve"> لكونه يسير</w:t>
      </w:r>
      <w:r w:rsidR="005F7C17">
        <w:rPr>
          <w:rFonts w:hint="cs"/>
          <w:rtl/>
        </w:rPr>
        <w:t>ًا</w:t>
      </w:r>
      <w:r w:rsidRPr="00CF742B">
        <w:rPr>
          <w:rFonts w:hint="cs"/>
          <w:rtl/>
        </w:rPr>
        <w:t>؛</w:t>
      </w:r>
      <w:r w:rsidRPr="00CF742B">
        <w:rPr>
          <w:rtl/>
        </w:rPr>
        <w:t xml:space="preserve"> لأن الأصل وجوب الضمان على الجاني؛ وإنما خولف في الثلث فصاعد</w:t>
      </w:r>
      <w:r w:rsidR="005F7C17">
        <w:rPr>
          <w:rtl/>
        </w:rPr>
        <w:t>ًا</w:t>
      </w:r>
      <w:r w:rsidRPr="00CF742B">
        <w:rPr>
          <w:rtl/>
        </w:rPr>
        <w:t xml:space="preserve"> تخفيف</w:t>
      </w:r>
      <w:r w:rsidR="005F7C17">
        <w:rPr>
          <w:rtl/>
        </w:rPr>
        <w:t>ًا</w:t>
      </w:r>
      <w:r w:rsidRPr="00CF742B">
        <w:rPr>
          <w:rtl/>
        </w:rPr>
        <w:t xml:space="preserve"> عن الجاني لكونه كثير</w:t>
      </w:r>
      <w:r w:rsidR="005F7C17">
        <w:rPr>
          <w:rtl/>
        </w:rPr>
        <w:t>ًا</w:t>
      </w:r>
      <w:r w:rsidRPr="00CF742B">
        <w:rPr>
          <w:rFonts w:hint="cs"/>
          <w:rtl/>
        </w:rPr>
        <w:t>.</w:t>
      </w:r>
      <w:r w:rsidRPr="00CF742B">
        <w:rPr>
          <w:rStyle w:val="aa"/>
          <w:rtl/>
        </w:rPr>
        <w:t>(</w:t>
      </w:r>
      <w:r w:rsidRPr="00CF742B">
        <w:rPr>
          <w:rStyle w:val="aa"/>
          <w:rtl/>
        </w:rPr>
        <w:footnoteReference w:id="53"/>
      </w:r>
      <w:r w:rsidRPr="00CF742B">
        <w:rPr>
          <w:rStyle w:val="aa"/>
          <w:rtl/>
        </w:rPr>
        <w:t>)</w:t>
      </w:r>
      <w:r w:rsidRPr="00CF742B">
        <w:rPr>
          <w:rtl/>
        </w:rPr>
        <w:t xml:space="preserve"> </w:t>
      </w:r>
    </w:p>
    <w:p w14:paraId="1EA57CB9" w14:textId="77777777" w:rsidR="00C742E9" w:rsidRPr="00CF742B" w:rsidRDefault="00C742E9" w:rsidP="00C742E9">
      <w:pPr>
        <w:ind w:left="360"/>
        <w:rPr>
          <w:sz w:val="16"/>
          <w:szCs w:val="18"/>
          <w:rtl/>
        </w:rPr>
      </w:pPr>
    </w:p>
    <w:p w14:paraId="4DAE9468" w14:textId="77777777" w:rsidR="00C742E9" w:rsidRPr="00CF742B" w:rsidRDefault="00C742E9" w:rsidP="00C742E9">
      <w:pPr>
        <w:rPr>
          <w:b/>
          <w:bCs/>
          <w:rtl/>
        </w:rPr>
      </w:pPr>
      <w:r w:rsidRPr="00CF742B">
        <w:rPr>
          <w:rFonts w:hint="cs"/>
          <w:b/>
          <w:bCs/>
          <w:rtl/>
        </w:rPr>
        <w:t>القول الثالث: تقدير اليسير بالنصف.</w:t>
      </w:r>
    </w:p>
    <w:p w14:paraId="3D803365" w14:textId="77777777" w:rsidR="00C742E9" w:rsidRPr="00CF742B" w:rsidRDefault="00C742E9" w:rsidP="00C742E9">
      <w:pPr>
        <w:spacing w:after="120"/>
        <w:ind w:firstLine="567"/>
        <w:rPr>
          <w:rtl/>
        </w:rPr>
      </w:pPr>
      <w:r w:rsidRPr="00CF742B">
        <w:rPr>
          <w:rFonts w:hint="cs"/>
          <w:rtl/>
        </w:rPr>
        <w:t>وبيان هذا القول: أن ما كان أقل من النصف فهو يسير، وما زاد عنه فهو كثير، وهذا الضابط مما تفرد به الحنفية في رواية لهم، وبه قال أبو يوسف.</w:t>
      </w:r>
      <w:r w:rsidRPr="00CF742B">
        <w:rPr>
          <w:rStyle w:val="aa"/>
          <w:rtl/>
        </w:rPr>
        <w:t>(</w:t>
      </w:r>
      <w:r w:rsidRPr="00CF742B">
        <w:rPr>
          <w:rStyle w:val="aa"/>
          <w:rtl/>
        </w:rPr>
        <w:footnoteReference w:id="54"/>
      </w:r>
      <w:r w:rsidRPr="00CF742B">
        <w:rPr>
          <w:rStyle w:val="aa"/>
          <w:rtl/>
        </w:rPr>
        <w:t>)</w:t>
      </w:r>
    </w:p>
    <w:p w14:paraId="7A408CD1" w14:textId="77777777" w:rsidR="00C742E9" w:rsidRPr="00CF742B" w:rsidRDefault="00C742E9" w:rsidP="00C742E9">
      <w:pPr>
        <w:spacing w:after="120"/>
        <w:ind w:firstLine="567"/>
        <w:rPr>
          <w:b/>
          <w:bCs/>
          <w:rtl/>
        </w:rPr>
      </w:pPr>
      <w:r w:rsidRPr="00CF742B">
        <w:rPr>
          <w:rFonts w:hint="cs"/>
          <w:b/>
          <w:bCs/>
          <w:rtl/>
        </w:rPr>
        <w:t>ووجه هذا القول:</w:t>
      </w:r>
    </w:p>
    <w:p w14:paraId="19673A0B" w14:textId="77777777" w:rsidR="00C742E9" w:rsidRPr="00CF742B" w:rsidRDefault="00C742E9" w:rsidP="00C742E9">
      <w:pPr>
        <w:spacing w:after="120"/>
        <w:ind w:firstLine="567"/>
        <w:rPr>
          <w:rtl/>
        </w:rPr>
      </w:pPr>
      <w:r w:rsidRPr="00CF742B">
        <w:rPr>
          <w:rtl/>
        </w:rPr>
        <w:t>لأن الشيء إنما يوصف بالكثرة إذا كان ما يقابله أقل منه</w:t>
      </w:r>
      <w:r w:rsidRPr="00CF742B">
        <w:rPr>
          <w:rFonts w:hint="cs"/>
          <w:rtl/>
        </w:rPr>
        <w:t>،</w:t>
      </w:r>
      <w:r w:rsidRPr="00CF742B">
        <w:rPr>
          <w:rtl/>
        </w:rPr>
        <w:t xml:space="preserve"> إذ هما من أسماء المقابلة، وما كان مقابله أكثر منه فهو قليل</w:t>
      </w:r>
      <w:r w:rsidRPr="00CF742B">
        <w:rPr>
          <w:rFonts w:hint="cs"/>
          <w:rtl/>
        </w:rPr>
        <w:t>.</w:t>
      </w:r>
      <w:r w:rsidRPr="00CF742B">
        <w:rPr>
          <w:rStyle w:val="aa"/>
          <w:rtl/>
        </w:rPr>
        <w:t>(</w:t>
      </w:r>
      <w:r w:rsidRPr="00CF742B">
        <w:rPr>
          <w:rStyle w:val="aa"/>
          <w:rtl/>
        </w:rPr>
        <w:footnoteReference w:id="55"/>
      </w:r>
      <w:r w:rsidRPr="00CF742B">
        <w:rPr>
          <w:rStyle w:val="aa"/>
          <w:rtl/>
        </w:rPr>
        <w:t>)</w:t>
      </w:r>
      <w:r w:rsidRPr="00CF742B">
        <w:rPr>
          <w:rtl/>
        </w:rPr>
        <w:t xml:space="preserve"> </w:t>
      </w:r>
    </w:p>
    <w:p w14:paraId="282A8540" w14:textId="77777777" w:rsidR="00C742E9" w:rsidRPr="00CF742B" w:rsidRDefault="00C742E9" w:rsidP="00C742E9">
      <w:pPr>
        <w:spacing w:after="120"/>
        <w:ind w:firstLine="567"/>
        <w:rPr>
          <w:b/>
          <w:bCs/>
          <w:rtl/>
        </w:rPr>
      </w:pPr>
      <w:r w:rsidRPr="00CF742B">
        <w:rPr>
          <w:rFonts w:hint="cs"/>
          <w:b/>
          <w:bCs/>
          <w:rtl/>
        </w:rPr>
        <w:t>ومن الأمثلة على هذا القول:</w:t>
      </w:r>
    </w:p>
    <w:p w14:paraId="0246A625" w14:textId="77777777" w:rsidR="00C742E9" w:rsidRPr="00CF742B" w:rsidRDefault="00C742E9" w:rsidP="00C742E9">
      <w:pPr>
        <w:spacing w:after="120"/>
        <w:ind w:firstLine="567"/>
        <w:rPr>
          <w:rtl/>
        </w:rPr>
      </w:pPr>
      <w:r w:rsidRPr="00CF742B">
        <w:rPr>
          <w:rFonts w:hint="cs"/>
          <w:rtl/>
        </w:rPr>
        <w:lastRenderedPageBreak/>
        <w:t>أن المرأة إن صلت وقد انكشف أكثر من نصفها فتعيد الصلاة، وإن كان المنكشف أقل من النصف فلا إعادة عليها.</w:t>
      </w:r>
      <w:r w:rsidRPr="00CF742B">
        <w:rPr>
          <w:rStyle w:val="aa"/>
          <w:rtl/>
        </w:rPr>
        <w:t>(</w:t>
      </w:r>
      <w:r w:rsidRPr="00CF742B">
        <w:rPr>
          <w:rStyle w:val="aa"/>
          <w:rtl/>
        </w:rPr>
        <w:footnoteReference w:id="56"/>
      </w:r>
      <w:r w:rsidRPr="00CF742B">
        <w:rPr>
          <w:rStyle w:val="aa"/>
          <w:rtl/>
        </w:rPr>
        <w:t>)</w:t>
      </w:r>
      <w:r w:rsidRPr="00CF742B">
        <w:rPr>
          <w:rtl/>
        </w:rPr>
        <w:t xml:space="preserve"> </w:t>
      </w:r>
    </w:p>
    <w:p w14:paraId="6B608E43" w14:textId="6A985AE0" w:rsidR="00C742E9" w:rsidRPr="00CF742B" w:rsidRDefault="00C742E9" w:rsidP="00C742E9">
      <w:pPr>
        <w:spacing w:after="120"/>
        <w:ind w:firstLine="567"/>
        <w:rPr>
          <w:rtl/>
        </w:rPr>
      </w:pPr>
      <w:r w:rsidRPr="00CF742B">
        <w:rPr>
          <w:rFonts w:hint="cs"/>
          <w:rtl/>
        </w:rPr>
        <w:t>والمحرم إن حلق أكثر رأسه النصف فصاعد</w:t>
      </w:r>
      <w:r w:rsidR="005F7C17">
        <w:rPr>
          <w:rFonts w:hint="cs"/>
          <w:rtl/>
        </w:rPr>
        <w:t>ًا</w:t>
      </w:r>
      <w:r w:rsidRPr="00CF742B">
        <w:rPr>
          <w:rFonts w:hint="cs"/>
          <w:rtl/>
        </w:rPr>
        <w:t>، فعليه دم، ولا يجب عليه شيء إذا حلق أقل من النصف.</w:t>
      </w:r>
      <w:r w:rsidRPr="00CF742B">
        <w:rPr>
          <w:rStyle w:val="aa"/>
          <w:rtl/>
        </w:rPr>
        <w:t>(</w:t>
      </w:r>
      <w:r w:rsidRPr="00CF742B">
        <w:rPr>
          <w:rStyle w:val="aa"/>
          <w:rtl/>
        </w:rPr>
        <w:footnoteReference w:id="57"/>
      </w:r>
      <w:r w:rsidRPr="00CF742B">
        <w:rPr>
          <w:rStyle w:val="aa"/>
          <w:rtl/>
        </w:rPr>
        <w:t>)</w:t>
      </w:r>
      <w:r w:rsidRPr="00CF742B">
        <w:rPr>
          <w:rtl/>
        </w:rPr>
        <w:t xml:space="preserve"> </w:t>
      </w:r>
    </w:p>
    <w:p w14:paraId="723EA2B7" w14:textId="46543F39" w:rsidR="00C742E9" w:rsidRPr="00CF742B" w:rsidRDefault="00C742E9" w:rsidP="00C742E9">
      <w:pPr>
        <w:spacing w:after="120"/>
        <w:ind w:firstLine="567"/>
        <w:rPr>
          <w:rtl/>
        </w:rPr>
      </w:pPr>
      <w:r w:rsidRPr="00CF742B">
        <w:rPr>
          <w:rFonts w:hint="cs"/>
          <w:rtl/>
        </w:rPr>
        <w:t xml:space="preserve">وكذلك في الأضحية فيما لو ذهب </w:t>
      </w:r>
      <w:r w:rsidRPr="00CF742B">
        <w:rPr>
          <w:rtl/>
        </w:rPr>
        <w:t xml:space="preserve">بعض </w:t>
      </w:r>
      <w:r w:rsidRPr="00CF742B">
        <w:rPr>
          <w:rFonts w:hint="cs"/>
          <w:rtl/>
        </w:rPr>
        <w:t>أذنها أو إليتها أو عينها، فعدُّوا ما لم يبلغ النصف يسير</w:t>
      </w:r>
      <w:r w:rsidR="005F7C17">
        <w:rPr>
          <w:rFonts w:hint="cs"/>
          <w:rtl/>
        </w:rPr>
        <w:t>ًا</w:t>
      </w:r>
      <w:r w:rsidRPr="00CF742B">
        <w:rPr>
          <w:rFonts w:hint="cs"/>
          <w:rtl/>
        </w:rPr>
        <w:t>، وما زاد عنه كثير</w:t>
      </w:r>
      <w:r w:rsidR="005F7C17">
        <w:rPr>
          <w:rFonts w:hint="cs"/>
          <w:rtl/>
        </w:rPr>
        <w:t>ًا</w:t>
      </w:r>
      <w:r w:rsidRPr="00CF742B">
        <w:rPr>
          <w:rFonts w:hint="cs"/>
          <w:rtl/>
        </w:rPr>
        <w:t>.</w:t>
      </w:r>
      <w:r w:rsidRPr="00CF742B">
        <w:rPr>
          <w:rStyle w:val="aa"/>
          <w:rtl/>
        </w:rPr>
        <w:t xml:space="preserve"> (</w:t>
      </w:r>
      <w:r w:rsidRPr="00CF742B">
        <w:rPr>
          <w:rStyle w:val="aa"/>
          <w:rtl/>
        </w:rPr>
        <w:footnoteReference w:id="58"/>
      </w:r>
      <w:r w:rsidRPr="00CF742B">
        <w:rPr>
          <w:rStyle w:val="aa"/>
          <w:rtl/>
        </w:rPr>
        <w:t>)</w:t>
      </w:r>
    </w:p>
    <w:p w14:paraId="67F5397E" w14:textId="77777777" w:rsidR="00C742E9" w:rsidRPr="00CF742B" w:rsidRDefault="00C742E9" w:rsidP="00C742E9">
      <w:pPr>
        <w:ind w:left="360"/>
        <w:rPr>
          <w:sz w:val="16"/>
          <w:szCs w:val="18"/>
          <w:rtl/>
        </w:rPr>
      </w:pPr>
    </w:p>
    <w:p w14:paraId="45AB9015" w14:textId="77777777" w:rsidR="00C742E9" w:rsidRPr="00CF742B" w:rsidRDefault="00C742E9" w:rsidP="00C742E9">
      <w:pPr>
        <w:rPr>
          <w:b/>
          <w:bCs/>
          <w:rtl/>
        </w:rPr>
      </w:pPr>
      <w:r w:rsidRPr="00CF742B">
        <w:rPr>
          <w:rFonts w:hint="cs"/>
          <w:b/>
          <w:bCs/>
          <w:rtl/>
        </w:rPr>
        <w:t>القول الرابع: تقدير اليسير بالثلاثة.</w:t>
      </w:r>
    </w:p>
    <w:p w14:paraId="61C35263" w14:textId="0AC95323" w:rsidR="00C742E9" w:rsidRPr="00CF742B" w:rsidRDefault="00C742E9" w:rsidP="00C742E9">
      <w:pPr>
        <w:spacing w:after="120"/>
        <w:ind w:firstLine="567"/>
        <w:rPr>
          <w:rtl/>
        </w:rPr>
      </w:pPr>
      <w:r w:rsidRPr="00CF742B">
        <w:rPr>
          <w:rFonts w:hint="cs"/>
          <w:rtl/>
        </w:rPr>
        <w:t>وقد ذهب الحنفية والشافعية والحنابلة</w:t>
      </w:r>
      <w:r w:rsidRPr="00CF742B">
        <w:rPr>
          <w:rStyle w:val="aa"/>
          <w:rtl/>
        </w:rPr>
        <w:t>(</w:t>
      </w:r>
      <w:r w:rsidRPr="00CF742B">
        <w:rPr>
          <w:rStyle w:val="aa"/>
          <w:rtl/>
        </w:rPr>
        <w:footnoteReference w:id="59"/>
      </w:r>
      <w:r w:rsidRPr="00CF742B">
        <w:rPr>
          <w:rStyle w:val="aa"/>
          <w:rtl/>
        </w:rPr>
        <w:t>)</w:t>
      </w:r>
      <w:r w:rsidRPr="00CF742B">
        <w:rPr>
          <w:rFonts w:hint="cs"/>
          <w:rtl/>
        </w:rPr>
        <w:t xml:space="preserve"> إلى تقدير</w:t>
      </w:r>
      <w:r w:rsidRPr="00CF742B">
        <w:rPr>
          <w:rtl/>
        </w:rPr>
        <w:t xml:space="preserve"> الكثرة من القلة</w:t>
      </w:r>
      <w:r w:rsidRPr="00CF742B">
        <w:rPr>
          <w:rFonts w:hint="cs"/>
          <w:rtl/>
        </w:rPr>
        <w:t xml:space="preserve"> فيما يمكن فيه العد </w:t>
      </w:r>
      <w:r w:rsidRPr="00CF742B">
        <w:rPr>
          <w:rtl/>
        </w:rPr>
        <w:t>ب</w:t>
      </w:r>
      <w:r w:rsidRPr="00CF742B">
        <w:rPr>
          <w:rFonts w:hint="cs"/>
          <w:rtl/>
        </w:rPr>
        <w:t xml:space="preserve">العدد </w:t>
      </w:r>
      <w:r w:rsidRPr="00CF742B">
        <w:rPr>
          <w:rtl/>
        </w:rPr>
        <w:t>ثلاثة</w:t>
      </w:r>
      <w:r w:rsidRPr="00CF742B">
        <w:rPr>
          <w:rStyle w:val="aa"/>
          <w:rtl/>
        </w:rPr>
        <w:t>(</w:t>
      </w:r>
      <w:r w:rsidRPr="00CF742B">
        <w:rPr>
          <w:rStyle w:val="aa"/>
          <w:rtl/>
        </w:rPr>
        <w:footnoteReference w:id="60"/>
      </w:r>
      <w:r w:rsidRPr="00CF742B">
        <w:rPr>
          <w:rStyle w:val="aa"/>
          <w:rtl/>
        </w:rPr>
        <w:t>)</w:t>
      </w:r>
      <w:r w:rsidRPr="00CF742B">
        <w:rPr>
          <w:rtl/>
        </w:rPr>
        <w:t>،</w:t>
      </w:r>
      <w:r w:rsidRPr="00CF742B">
        <w:rPr>
          <w:rFonts w:hint="cs"/>
          <w:rtl/>
        </w:rPr>
        <w:t xml:space="preserve"> وأكثر المذاهب عمل</w:t>
      </w:r>
      <w:r w:rsidR="005F7C17">
        <w:rPr>
          <w:rFonts w:hint="cs"/>
          <w:rtl/>
        </w:rPr>
        <w:t>ًا</w:t>
      </w:r>
      <w:r w:rsidRPr="00CF742B">
        <w:rPr>
          <w:rFonts w:hint="cs"/>
          <w:rtl/>
        </w:rPr>
        <w:t xml:space="preserve"> بهذا القول هم الشافعية.</w:t>
      </w:r>
    </w:p>
    <w:p w14:paraId="1D3C9B39" w14:textId="77777777" w:rsidR="00C742E9" w:rsidRPr="00CF742B" w:rsidRDefault="00C742E9" w:rsidP="00C742E9">
      <w:pPr>
        <w:spacing w:after="120"/>
        <w:ind w:firstLine="567"/>
        <w:rPr>
          <w:rtl/>
        </w:rPr>
      </w:pPr>
      <w:r w:rsidRPr="00CF742B">
        <w:rPr>
          <w:rFonts w:hint="cs"/>
          <w:b/>
          <w:bCs/>
          <w:rtl/>
        </w:rPr>
        <w:t>واستدل الآخذون به:</w:t>
      </w:r>
    </w:p>
    <w:p w14:paraId="391BABD4" w14:textId="77777777" w:rsidR="00C742E9" w:rsidRPr="00CF742B" w:rsidRDefault="00C742E9" w:rsidP="00C742E9">
      <w:pPr>
        <w:pStyle w:val="a6"/>
        <w:numPr>
          <w:ilvl w:val="0"/>
          <w:numId w:val="1"/>
        </w:numPr>
        <w:jc w:val="both"/>
      </w:pPr>
      <w:r w:rsidRPr="00CF742B">
        <w:rPr>
          <w:rFonts w:hint="cs"/>
          <w:rtl/>
        </w:rPr>
        <w:t>بقول</w:t>
      </w:r>
      <w:r w:rsidRPr="00CF742B">
        <w:rPr>
          <w:rtl/>
        </w:rPr>
        <w:t xml:space="preserve"> الل</w:t>
      </w:r>
      <w:r w:rsidRPr="00CF742B">
        <w:rPr>
          <w:rFonts w:hint="cs"/>
          <w:rtl/>
        </w:rPr>
        <w:t xml:space="preserve">ه </w:t>
      </w:r>
      <w:r w:rsidRPr="00CF742B">
        <w:rPr>
          <w:rtl/>
        </w:rPr>
        <w:t>تعالى</w:t>
      </w:r>
      <w:r w:rsidRPr="00CF742B">
        <w:rPr>
          <w:rFonts w:hint="cs"/>
          <w:rtl/>
        </w:rPr>
        <w:t xml:space="preserve"> في قصة ثمود</w:t>
      </w:r>
      <w:r w:rsidRPr="00CF742B">
        <w:rPr>
          <w:rtl/>
        </w:rPr>
        <w:t xml:space="preserve">: </w:t>
      </w:r>
      <w:r w:rsidRPr="00CF742B">
        <w:rPr>
          <w:szCs w:val="32"/>
          <w:rtl/>
        </w:rPr>
        <w:t>{</w:t>
      </w:r>
      <w:r w:rsidRPr="00CF742B">
        <w:rPr>
          <w:rFonts w:cs="KFGQPC HAFS Uthmanic Script"/>
          <w:szCs w:val="32"/>
          <w:rtl/>
        </w:rPr>
        <w:t>فَيَأۡخُذَكُمۡ عَذَابٞ قَرِيبٞ ٦٤</w:t>
      </w:r>
      <w:r w:rsidRPr="00CF742B">
        <w:rPr>
          <w:szCs w:val="32"/>
          <w:rtl/>
        </w:rPr>
        <w:t>} [سورة هود:64]</w:t>
      </w:r>
      <w:r w:rsidRPr="00CF742B">
        <w:rPr>
          <w:rFonts w:hint="cs"/>
          <w:rtl/>
        </w:rPr>
        <w:t>،</w:t>
      </w:r>
      <w:r w:rsidRPr="00CF742B">
        <w:rPr>
          <w:rtl/>
        </w:rPr>
        <w:t xml:space="preserve"> ثم فسر القريب بالثلاث، فقال: </w:t>
      </w:r>
      <w:r w:rsidRPr="00CF742B">
        <w:rPr>
          <w:szCs w:val="32"/>
          <w:rtl/>
        </w:rPr>
        <w:t>{</w:t>
      </w:r>
      <w:r w:rsidRPr="00CF742B">
        <w:rPr>
          <w:rFonts w:cs="KFGQPC HAFS Uthmanic Script"/>
          <w:szCs w:val="32"/>
          <w:rtl/>
        </w:rPr>
        <w:t>تَمَتَّعُواْ فِي دَارِكُمۡ ثَلَٰثَةَ أَيَّامٖۖ</w:t>
      </w:r>
      <w:r w:rsidRPr="00CF742B">
        <w:rPr>
          <w:szCs w:val="32"/>
          <w:rtl/>
        </w:rPr>
        <w:t>} [سورة هود:65]</w:t>
      </w:r>
      <w:r w:rsidRPr="00CF742B">
        <w:rPr>
          <w:rFonts w:hint="cs"/>
          <w:rtl/>
        </w:rPr>
        <w:t xml:space="preserve">، فكان </w:t>
      </w:r>
      <w:r w:rsidRPr="00CF742B">
        <w:rPr>
          <w:rtl/>
        </w:rPr>
        <w:t>الثلاث في حد القلة، وما زاد عليها في حد الكث</w:t>
      </w:r>
      <w:r w:rsidRPr="00CF742B">
        <w:rPr>
          <w:rFonts w:hint="cs"/>
          <w:rtl/>
        </w:rPr>
        <w:t>رة.</w:t>
      </w:r>
      <w:r w:rsidRPr="00CF742B">
        <w:rPr>
          <w:rStyle w:val="aa"/>
          <w:rtl/>
        </w:rPr>
        <w:t>(</w:t>
      </w:r>
      <w:r w:rsidRPr="00CF742B">
        <w:rPr>
          <w:rStyle w:val="aa"/>
          <w:rtl/>
        </w:rPr>
        <w:footnoteReference w:id="61"/>
      </w:r>
      <w:r w:rsidRPr="00CF742B">
        <w:rPr>
          <w:rStyle w:val="aa"/>
          <w:rtl/>
        </w:rPr>
        <w:t>)</w:t>
      </w:r>
      <w:r w:rsidRPr="00CF742B">
        <w:t xml:space="preserve"> </w:t>
      </w:r>
    </w:p>
    <w:p w14:paraId="759BC0D9" w14:textId="682A43EF" w:rsidR="00C742E9" w:rsidRPr="00CF742B" w:rsidRDefault="00C742E9" w:rsidP="00C742E9">
      <w:pPr>
        <w:pStyle w:val="a6"/>
        <w:numPr>
          <w:ilvl w:val="0"/>
          <w:numId w:val="1"/>
        </w:numPr>
      </w:pPr>
      <w:r w:rsidRPr="00CF742B">
        <w:rPr>
          <w:rtl/>
        </w:rPr>
        <w:lastRenderedPageBreak/>
        <w:t>و</w:t>
      </w:r>
      <w:r w:rsidRPr="00CF742B">
        <w:rPr>
          <w:rFonts w:hint="cs"/>
          <w:rtl/>
        </w:rPr>
        <w:t>ب</w:t>
      </w:r>
      <w:r w:rsidRPr="00CF742B">
        <w:rPr>
          <w:rtl/>
        </w:rPr>
        <w:t>قول النبي</w:t>
      </w:r>
      <w:r w:rsidRPr="00CF742B">
        <w:rPr>
          <w:rFonts w:hint="cs"/>
          <w:rtl/>
        </w:rPr>
        <w:t xml:space="preserve"> </w:t>
      </w:r>
      <w:r w:rsidR="000B7965">
        <w:rPr>
          <w:rFonts w:hint="cs"/>
          <w:rtl/>
        </w:rPr>
        <w:t>صلى الله عليه وسلم</w:t>
      </w:r>
      <w:r w:rsidRPr="00CF742B">
        <w:rPr>
          <w:rtl/>
        </w:rPr>
        <w:t xml:space="preserve">: </w:t>
      </w:r>
      <w:r w:rsidRPr="00CF742B">
        <w:rPr>
          <w:rFonts w:hint="cs"/>
          <w:rtl/>
        </w:rPr>
        <w:t>(</w:t>
      </w:r>
      <w:r w:rsidRPr="00CF742B">
        <w:rPr>
          <w:rtl/>
        </w:rPr>
        <w:t xml:space="preserve">لَا يَحِلُّ لمسلم أن ‌يهجر أخاه فوق ‌ثلاث </w:t>
      </w:r>
      <w:r w:rsidRPr="00CF742B">
        <w:rPr>
          <w:rFonts w:hint="cs"/>
          <w:rtl/>
        </w:rPr>
        <w:t>ليال</w:t>
      </w:r>
      <w:r w:rsidRPr="00CF742B">
        <w:rPr>
          <w:rtl/>
        </w:rPr>
        <w:t>)</w:t>
      </w:r>
      <w:r w:rsidRPr="00CF742B">
        <w:rPr>
          <w:rFonts w:hint="cs"/>
          <w:rtl/>
        </w:rPr>
        <w:t>.</w:t>
      </w:r>
      <w:r w:rsidRPr="00CF742B">
        <w:rPr>
          <w:rStyle w:val="aa"/>
          <w:rtl/>
        </w:rPr>
        <w:t>(</w:t>
      </w:r>
      <w:r w:rsidRPr="00CF742B">
        <w:rPr>
          <w:rStyle w:val="aa"/>
          <w:rtl/>
        </w:rPr>
        <w:footnoteReference w:id="62"/>
      </w:r>
      <w:r w:rsidRPr="00CF742B">
        <w:rPr>
          <w:rStyle w:val="aa"/>
          <w:rtl/>
        </w:rPr>
        <w:t>)</w:t>
      </w:r>
      <w:r w:rsidRPr="00CF742B">
        <w:rPr>
          <w:rtl/>
        </w:rPr>
        <w:t xml:space="preserve"> </w:t>
      </w:r>
    </w:p>
    <w:p w14:paraId="7342470E" w14:textId="77777777" w:rsidR="00C742E9" w:rsidRPr="00CF742B" w:rsidRDefault="00C742E9" w:rsidP="00C742E9">
      <w:pPr>
        <w:pStyle w:val="a6"/>
        <w:ind w:left="1080"/>
        <w:rPr>
          <w:b/>
          <w:bCs/>
          <w:rtl/>
        </w:rPr>
      </w:pPr>
      <w:r w:rsidRPr="00CF742B">
        <w:rPr>
          <w:rFonts w:hint="cs"/>
          <w:b/>
          <w:bCs/>
          <w:rtl/>
        </w:rPr>
        <w:t>وجه الدلالة:</w:t>
      </w:r>
    </w:p>
    <w:p w14:paraId="50ACD899" w14:textId="77777777" w:rsidR="00C742E9" w:rsidRPr="00CF742B" w:rsidRDefault="00C742E9" w:rsidP="00C742E9">
      <w:pPr>
        <w:pStyle w:val="a6"/>
        <w:ind w:left="1080"/>
        <w:rPr>
          <w:b/>
          <w:bCs/>
          <w:rtl/>
        </w:rPr>
      </w:pPr>
      <w:r w:rsidRPr="00CF742B">
        <w:rPr>
          <w:rFonts w:hint="cs"/>
          <w:rtl/>
        </w:rPr>
        <w:t xml:space="preserve">أنه </w:t>
      </w:r>
      <w:r w:rsidRPr="00CF742B">
        <w:rPr>
          <w:rtl/>
        </w:rPr>
        <w:t>بان بهذا أن الثلاث</w:t>
      </w:r>
      <w:r w:rsidRPr="00CF742B">
        <w:rPr>
          <w:rFonts w:hint="cs"/>
          <w:rtl/>
        </w:rPr>
        <w:t xml:space="preserve"> ليال </w:t>
      </w:r>
      <w:r w:rsidRPr="00CF742B">
        <w:rPr>
          <w:rtl/>
        </w:rPr>
        <w:t>في حيز ‌اليسير</w:t>
      </w:r>
      <w:r w:rsidRPr="00CF742B">
        <w:rPr>
          <w:rFonts w:hint="cs"/>
          <w:rtl/>
        </w:rPr>
        <w:t>.</w:t>
      </w:r>
      <w:r w:rsidRPr="00CF742B">
        <w:rPr>
          <w:rStyle w:val="aa"/>
          <w:rtl/>
        </w:rPr>
        <w:t>(</w:t>
      </w:r>
      <w:r w:rsidRPr="00CF742B">
        <w:rPr>
          <w:rStyle w:val="aa"/>
          <w:rtl/>
        </w:rPr>
        <w:footnoteReference w:id="63"/>
      </w:r>
      <w:r w:rsidRPr="00CF742B">
        <w:rPr>
          <w:rStyle w:val="aa"/>
          <w:rtl/>
        </w:rPr>
        <w:t>)</w:t>
      </w:r>
      <w:r w:rsidRPr="00CF742B">
        <w:rPr>
          <w:rtl/>
        </w:rPr>
        <w:t xml:space="preserve"> </w:t>
      </w:r>
    </w:p>
    <w:p w14:paraId="11FE50CF" w14:textId="77777777" w:rsidR="00C742E9" w:rsidRPr="00CF742B" w:rsidRDefault="00C742E9" w:rsidP="00C742E9">
      <w:pPr>
        <w:pStyle w:val="a6"/>
        <w:numPr>
          <w:ilvl w:val="0"/>
          <w:numId w:val="1"/>
        </w:numPr>
      </w:pPr>
      <w:r w:rsidRPr="00CF742B">
        <w:rPr>
          <w:rFonts w:hint="cs"/>
          <w:rtl/>
        </w:rPr>
        <w:t>ولأن الثلاثة أقل الجمع.</w:t>
      </w:r>
    </w:p>
    <w:p w14:paraId="646EC5E7" w14:textId="23CCA83B" w:rsidR="00C742E9" w:rsidRPr="00CF742B" w:rsidRDefault="00C742E9" w:rsidP="00C742E9">
      <w:pPr>
        <w:pStyle w:val="a6"/>
        <w:numPr>
          <w:ilvl w:val="0"/>
          <w:numId w:val="1"/>
        </w:numPr>
      </w:pPr>
      <w:r w:rsidRPr="00CF742B">
        <w:rPr>
          <w:rFonts w:hint="cs"/>
          <w:rtl/>
        </w:rPr>
        <w:t xml:space="preserve">ولأن </w:t>
      </w:r>
      <w:r w:rsidRPr="00CF742B">
        <w:rPr>
          <w:rtl/>
        </w:rPr>
        <w:t>الثلاث قد جعلت حد</w:t>
      </w:r>
      <w:r w:rsidR="005F7C17">
        <w:rPr>
          <w:rFonts w:hint="cs"/>
          <w:rtl/>
        </w:rPr>
        <w:t>ًا</w:t>
      </w:r>
      <w:r w:rsidRPr="00CF742B">
        <w:rPr>
          <w:rtl/>
        </w:rPr>
        <w:t xml:space="preserve"> في الشريعة في أحكام كثيرة، وخولف بينها وبين ما دونها</w:t>
      </w:r>
      <w:r w:rsidRPr="00CF742B">
        <w:rPr>
          <w:rFonts w:hint="cs"/>
          <w:rtl/>
        </w:rPr>
        <w:t>، كعدد مرات الاستجمار، وعدد التطليقات، وما ورد في مرات تكرار كثير من الأذكار، وعدد غسل أعضاء الوضوء، وأيام المسح على الخفين للمسافر، وغيرها كثير.</w:t>
      </w:r>
    </w:p>
    <w:p w14:paraId="08AB0B4F" w14:textId="77777777" w:rsidR="00C742E9" w:rsidRPr="00CF742B" w:rsidRDefault="00C742E9" w:rsidP="00C742E9">
      <w:pPr>
        <w:pStyle w:val="a6"/>
        <w:ind w:left="1080"/>
        <w:rPr>
          <w:sz w:val="12"/>
          <w:szCs w:val="12"/>
          <w:rtl/>
        </w:rPr>
      </w:pPr>
    </w:p>
    <w:p w14:paraId="24DD87C1" w14:textId="77777777" w:rsidR="00C742E9" w:rsidRPr="00CF742B" w:rsidRDefault="00C742E9" w:rsidP="00C742E9">
      <w:pPr>
        <w:spacing w:after="120"/>
        <w:ind w:firstLine="567"/>
        <w:rPr>
          <w:b/>
          <w:bCs/>
          <w:rtl/>
        </w:rPr>
      </w:pPr>
      <w:r w:rsidRPr="00CF742B">
        <w:rPr>
          <w:rFonts w:hint="cs"/>
          <w:b/>
          <w:bCs/>
          <w:rtl/>
        </w:rPr>
        <w:t xml:space="preserve">ومن المسائل المقدرة بالثلاث: </w:t>
      </w:r>
    </w:p>
    <w:p w14:paraId="61ADB77A" w14:textId="77777777" w:rsidR="00C742E9" w:rsidRPr="00CF742B" w:rsidRDefault="00C742E9" w:rsidP="00C742E9">
      <w:pPr>
        <w:spacing w:after="120"/>
        <w:ind w:firstLine="567"/>
        <w:rPr>
          <w:rtl/>
        </w:rPr>
      </w:pPr>
      <w:r w:rsidRPr="00CF742B">
        <w:rPr>
          <w:rFonts w:hint="cs"/>
          <w:rtl/>
        </w:rPr>
        <w:t>أن مسح الرأس في الوضوء لا يصح بأقل من قدر ثلاثة أصابع في رواية عند الحنفية.</w:t>
      </w:r>
      <w:r w:rsidRPr="00CF742B">
        <w:rPr>
          <w:rStyle w:val="aa"/>
          <w:rtl/>
        </w:rPr>
        <w:t>(</w:t>
      </w:r>
      <w:r w:rsidRPr="00CF742B">
        <w:rPr>
          <w:rStyle w:val="aa"/>
          <w:rtl/>
        </w:rPr>
        <w:footnoteReference w:id="64"/>
      </w:r>
      <w:r w:rsidRPr="00CF742B">
        <w:rPr>
          <w:rStyle w:val="aa"/>
          <w:rtl/>
        </w:rPr>
        <w:t>)</w:t>
      </w:r>
      <w:r w:rsidRPr="00CF742B">
        <w:rPr>
          <w:rtl/>
        </w:rPr>
        <w:t xml:space="preserve"> </w:t>
      </w:r>
    </w:p>
    <w:p w14:paraId="60649E48" w14:textId="77777777" w:rsidR="00C742E9" w:rsidRPr="00CF742B" w:rsidRDefault="00C742E9" w:rsidP="00C742E9">
      <w:pPr>
        <w:spacing w:after="120"/>
        <w:ind w:firstLine="567"/>
        <w:rPr>
          <w:rtl/>
        </w:rPr>
      </w:pPr>
      <w:r w:rsidRPr="00CF742B">
        <w:rPr>
          <w:rFonts w:hint="cs"/>
          <w:rtl/>
        </w:rPr>
        <w:t>وكذا ما جاء في وجه عند الشافعية أنه يصح في الوضوء مسح ثلاث شعرات من الرأس، ولا يصح مسح أقل من ذلك.</w:t>
      </w:r>
      <w:r w:rsidRPr="00CF742B">
        <w:rPr>
          <w:rStyle w:val="aa"/>
          <w:rtl/>
        </w:rPr>
        <w:t>(</w:t>
      </w:r>
      <w:r w:rsidRPr="00CF742B">
        <w:rPr>
          <w:rStyle w:val="aa"/>
          <w:rtl/>
        </w:rPr>
        <w:footnoteReference w:id="65"/>
      </w:r>
      <w:r w:rsidRPr="00CF742B">
        <w:rPr>
          <w:rStyle w:val="aa"/>
          <w:rtl/>
        </w:rPr>
        <w:t>)</w:t>
      </w:r>
    </w:p>
    <w:p w14:paraId="0F191DA1" w14:textId="77777777" w:rsidR="00C742E9" w:rsidRPr="00CF742B" w:rsidRDefault="00C742E9" w:rsidP="00C742E9">
      <w:pPr>
        <w:spacing w:after="120"/>
        <w:ind w:firstLine="567"/>
        <w:rPr>
          <w:rtl/>
        </w:rPr>
      </w:pPr>
      <w:r w:rsidRPr="00CF742B">
        <w:rPr>
          <w:rFonts w:hint="cs"/>
          <w:rtl/>
        </w:rPr>
        <w:t>وذهب الحنفية إلى أنه يعفى عن يسير الخروق في الخفين، إلا ما بلغ ثلاثة أصابع.</w:t>
      </w:r>
      <w:r w:rsidRPr="00CF742B">
        <w:rPr>
          <w:rStyle w:val="aa"/>
          <w:rtl/>
        </w:rPr>
        <w:t>(</w:t>
      </w:r>
      <w:r w:rsidRPr="00CF742B">
        <w:rPr>
          <w:rStyle w:val="aa"/>
          <w:rtl/>
        </w:rPr>
        <w:footnoteReference w:id="66"/>
      </w:r>
      <w:r w:rsidRPr="00CF742B">
        <w:rPr>
          <w:rStyle w:val="aa"/>
          <w:rtl/>
        </w:rPr>
        <w:t>)</w:t>
      </w:r>
      <w:r w:rsidRPr="00CF742B">
        <w:rPr>
          <w:rtl/>
        </w:rPr>
        <w:t xml:space="preserve"> </w:t>
      </w:r>
    </w:p>
    <w:p w14:paraId="51926B6D" w14:textId="30E90F15" w:rsidR="00C742E9" w:rsidRPr="00CF742B" w:rsidRDefault="00C742E9" w:rsidP="00C742E9">
      <w:pPr>
        <w:spacing w:after="120"/>
        <w:ind w:firstLine="567"/>
        <w:rPr>
          <w:rtl/>
        </w:rPr>
      </w:pPr>
      <w:r w:rsidRPr="00CF742B">
        <w:rPr>
          <w:rFonts w:hint="cs"/>
          <w:rtl/>
        </w:rPr>
        <w:lastRenderedPageBreak/>
        <w:t>وعند الحنابلة أن العادة في الحيض تثبت إذا تكرر الحيض ثلاث مرات، وما دون الثلاث قليل لا تثبت به العادة</w:t>
      </w:r>
      <w:r w:rsidRPr="00CF742B">
        <w:rPr>
          <w:rStyle w:val="aa"/>
          <w:rtl/>
        </w:rPr>
        <w:t>(</w:t>
      </w:r>
      <w:r w:rsidRPr="00CF742B">
        <w:rPr>
          <w:rStyle w:val="aa"/>
          <w:rtl/>
        </w:rPr>
        <w:footnoteReference w:id="67"/>
      </w:r>
      <w:r w:rsidRPr="00CF742B">
        <w:rPr>
          <w:rStyle w:val="aa"/>
          <w:rtl/>
        </w:rPr>
        <w:t>)</w:t>
      </w:r>
      <w:r>
        <w:rPr>
          <w:rFonts w:hint="cs"/>
          <w:rtl/>
        </w:rPr>
        <w:t>،</w:t>
      </w:r>
      <w:r w:rsidRPr="00CF742B">
        <w:rPr>
          <w:rFonts w:hint="cs"/>
          <w:rtl/>
        </w:rPr>
        <w:t xml:space="preserve"> </w:t>
      </w:r>
      <w:r>
        <w:rPr>
          <w:rFonts w:hint="cs"/>
          <w:rtl/>
        </w:rPr>
        <w:t>وكذلك</w:t>
      </w:r>
      <w:r w:rsidRPr="00CF742B">
        <w:rPr>
          <w:rFonts w:hint="cs"/>
          <w:rtl/>
        </w:rPr>
        <w:t xml:space="preserve"> </w:t>
      </w:r>
      <w:r>
        <w:rPr>
          <w:rFonts w:hint="cs"/>
          <w:rtl/>
        </w:rPr>
        <w:t xml:space="preserve">ما ذهبوا إليه </w:t>
      </w:r>
      <w:r w:rsidRPr="00CF742B">
        <w:rPr>
          <w:rFonts w:hint="cs"/>
          <w:rtl/>
        </w:rPr>
        <w:t xml:space="preserve">في مسألة رد المصراة، </w:t>
      </w:r>
      <w:r>
        <w:rPr>
          <w:rFonts w:hint="cs"/>
          <w:rtl/>
        </w:rPr>
        <w:t xml:space="preserve">حيث </w:t>
      </w:r>
      <w:r w:rsidRPr="00CF742B">
        <w:rPr>
          <w:rFonts w:hint="cs"/>
          <w:rtl/>
        </w:rPr>
        <w:t xml:space="preserve">جعلوا خيار الرد للمشتري ثلاثة أيام، </w:t>
      </w:r>
      <w:r w:rsidRPr="006E4088">
        <w:rPr>
          <w:rtl/>
        </w:rPr>
        <w:t>فإن مضت الثلاث ولم يردّ بطل خياره لانتهاء غايته</w:t>
      </w:r>
      <w:r w:rsidRPr="00CF742B">
        <w:rPr>
          <w:rStyle w:val="aa"/>
          <w:rtl/>
        </w:rPr>
        <w:t>(</w:t>
      </w:r>
      <w:r w:rsidRPr="00CF742B">
        <w:rPr>
          <w:rStyle w:val="aa"/>
          <w:rtl/>
        </w:rPr>
        <w:footnoteReference w:id="68"/>
      </w:r>
      <w:r w:rsidRPr="00CF742B">
        <w:rPr>
          <w:rStyle w:val="aa"/>
          <w:rtl/>
        </w:rPr>
        <w:t>)</w:t>
      </w:r>
      <w:r w:rsidRPr="00CF742B">
        <w:rPr>
          <w:rFonts w:hint="cs"/>
          <w:rtl/>
        </w:rPr>
        <w:t>، دليل ذلك ما رواه أبو</w:t>
      </w:r>
      <w:r w:rsidRPr="00CF742B">
        <w:rPr>
          <w:rtl/>
        </w:rPr>
        <w:t xml:space="preserve"> هريرة </w:t>
      </w:r>
      <w:r w:rsidR="000B7965">
        <w:rPr>
          <w:rFonts w:ascii="ATraditional Arabic" w:hAnsi="ATraditional Arabic"/>
          <w:rtl/>
        </w:rPr>
        <w:t>رضي الله عنه</w:t>
      </w:r>
      <w:r w:rsidRPr="00CF742B">
        <w:rPr>
          <w:rtl/>
        </w:rPr>
        <w:t xml:space="preserve"> أن رسول الله </w:t>
      </w:r>
      <w:r w:rsidR="000B7965">
        <w:rPr>
          <w:rFonts w:hint="cs"/>
          <w:rtl/>
        </w:rPr>
        <w:t>صلى الله عليه وسلم</w:t>
      </w:r>
      <w:r w:rsidRPr="00CF742B">
        <w:rPr>
          <w:rtl/>
        </w:rPr>
        <w:t xml:space="preserve"> قال: </w:t>
      </w:r>
      <w:r w:rsidRPr="00CF742B">
        <w:rPr>
          <w:rFonts w:hint="cs"/>
          <w:rtl/>
        </w:rPr>
        <w:t>(</w:t>
      </w:r>
      <w:r w:rsidRPr="00CF742B">
        <w:rPr>
          <w:rtl/>
        </w:rPr>
        <w:t>من ابتاع شاة ‌مصراة، فهو فيها بالخيار ثلاثة أيام، إن شاء أمسكها، وإن شاء ردها، ورد معها صاع</w:t>
      </w:r>
      <w:r w:rsidR="005F7C17">
        <w:rPr>
          <w:rtl/>
        </w:rPr>
        <w:t>ًا</w:t>
      </w:r>
      <w:r w:rsidRPr="00CF742B">
        <w:rPr>
          <w:rtl/>
        </w:rPr>
        <w:t xml:space="preserve"> من تمر</w:t>
      </w:r>
      <w:r w:rsidRPr="00CF742B">
        <w:rPr>
          <w:rFonts w:hint="cs"/>
          <w:rtl/>
        </w:rPr>
        <w:t>).</w:t>
      </w:r>
      <w:r w:rsidRPr="00CF742B">
        <w:rPr>
          <w:rStyle w:val="aa"/>
          <w:rtl/>
        </w:rPr>
        <w:t>(</w:t>
      </w:r>
      <w:r w:rsidRPr="00CF742B">
        <w:rPr>
          <w:rStyle w:val="aa"/>
          <w:rtl/>
        </w:rPr>
        <w:footnoteReference w:id="69"/>
      </w:r>
      <w:r w:rsidRPr="00CF742B">
        <w:rPr>
          <w:rStyle w:val="aa"/>
          <w:rtl/>
        </w:rPr>
        <w:t>)</w:t>
      </w:r>
    </w:p>
    <w:p w14:paraId="79300870" w14:textId="77777777" w:rsidR="00C742E9" w:rsidRDefault="00C742E9" w:rsidP="00C742E9">
      <w:pPr>
        <w:spacing w:after="120"/>
        <w:ind w:firstLine="567"/>
        <w:rPr>
          <w:rtl/>
        </w:rPr>
      </w:pPr>
      <w:r w:rsidRPr="00CF742B">
        <w:rPr>
          <w:rFonts w:hint="cs"/>
          <w:rtl/>
        </w:rPr>
        <w:t>وذهب الشافعية إلى أنه يكفي في النسك حلق ثلاث شعرات.</w:t>
      </w:r>
      <w:r w:rsidRPr="00CF742B">
        <w:rPr>
          <w:rStyle w:val="aa"/>
          <w:rtl/>
        </w:rPr>
        <w:t>(</w:t>
      </w:r>
      <w:r w:rsidRPr="00CF742B">
        <w:rPr>
          <w:rStyle w:val="aa"/>
          <w:rtl/>
        </w:rPr>
        <w:footnoteReference w:id="70"/>
      </w:r>
      <w:r w:rsidRPr="00CF742B">
        <w:rPr>
          <w:rStyle w:val="aa"/>
          <w:rtl/>
        </w:rPr>
        <w:t>)</w:t>
      </w:r>
      <w:r w:rsidRPr="00CF742B">
        <w:rPr>
          <w:rtl/>
        </w:rPr>
        <w:t xml:space="preserve"> </w:t>
      </w:r>
    </w:p>
    <w:p w14:paraId="42C0BAB5" w14:textId="77777777" w:rsidR="00C742E9" w:rsidRPr="00CF742B" w:rsidRDefault="00C742E9" w:rsidP="00C742E9">
      <w:pPr>
        <w:spacing w:after="120"/>
        <w:ind w:firstLine="567"/>
        <w:jc w:val="both"/>
        <w:rPr>
          <w:rtl/>
        </w:rPr>
      </w:pPr>
      <w:r w:rsidRPr="00CF742B">
        <w:rPr>
          <w:rFonts w:hint="cs"/>
          <w:rtl/>
        </w:rPr>
        <w:t xml:space="preserve">وكذلك ما ذهب إليه </w:t>
      </w:r>
    </w:p>
    <w:p w14:paraId="76C77BB5" w14:textId="0DF13747" w:rsidR="00C742E9" w:rsidRPr="00CF742B" w:rsidRDefault="00C742E9" w:rsidP="00C742E9">
      <w:pPr>
        <w:spacing w:after="120"/>
        <w:ind w:firstLine="567"/>
        <w:rPr>
          <w:rtl/>
        </w:rPr>
      </w:pPr>
      <w:r w:rsidRPr="00CF742B">
        <w:rPr>
          <w:rFonts w:hint="cs"/>
          <w:rtl/>
        </w:rPr>
        <w:t>وذهبوا إلى أن من كان محرم</w:t>
      </w:r>
      <w:r w:rsidR="005F7C17">
        <w:rPr>
          <w:rFonts w:hint="cs"/>
          <w:rtl/>
        </w:rPr>
        <w:t>ًا</w:t>
      </w:r>
      <w:r w:rsidRPr="00CF742B">
        <w:rPr>
          <w:rFonts w:hint="cs"/>
          <w:rtl/>
        </w:rPr>
        <w:t xml:space="preserve"> وحلق أو نتف أكثر من ثلاث شعرات فهو كثير تجب عليه الفدية؛ لأن أقل الشعر ثلاث.</w:t>
      </w:r>
      <w:r w:rsidRPr="00CF742B">
        <w:rPr>
          <w:rStyle w:val="aa"/>
          <w:rtl/>
        </w:rPr>
        <w:t>(</w:t>
      </w:r>
      <w:r w:rsidRPr="00CF742B">
        <w:rPr>
          <w:rStyle w:val="aa"/>
          <w:rtl/>
        </w:rPr>
        <w:footnoteReference w:id="71"/>
      </w:r>
      <w:r w:rsidRPr="00CF742B">
        <w:rPr>
          <w:rStyle w:val="aa"/>
          <w:rtl/>
        </w:rPr>
        <w:t>)</w:t>
      </w:r>
      <w:r w:rsidRPr="00CF742B">
        <w:rPr>
          <w:rtl/>
        </w:rPr>
        <w:t xml:space="preserve"> </w:t>
      </w:r>
    </w:p>
    <w:p w14:paraId="5DE1B34E" w14:textId="77777777" w:rsidR="00C742E9" w:rsidRPr="00CF742B" w:rsidRDefault="00C742E9" w:rsidP="00C742E9">
      <w:pPr>
        <w:spacing w:after="120"/>
        <w:ind w:firstLine="567"/>
        <w:rPr>
          <w:rtl/>
        </w:rPr>
      </w:pPr>
      <w:r w:rsidRPr="00CF742B">
        <w:rPr>
          <w:rFonts w:hint="cs"/>
          <w:rtl/>
        </w:rPr>
        <w:t>ويجب على من وجب عليه دمٌ في الحج أن يوزعه على فقراء الحرم، شريطة ألا ينقص عددهم عن ثلاثة، لأنه أقل الجمع، وهو مذهب الشافعية.</w:t>
      </w:r>
      <w:r w:rsidRPr="00CF742B">
        <w:rPr>
          <w:rStyle w:val="aa"/>
          <w:rtl/>
        </w:rPr>
        <w:t>(</w:t>
      </w:r>
      <w:r w:rsidRPr="00CF742B">
        <w:rPr>
          <w:rStyle w:val="aa"/>
          <w:rtl/>
        </w:rPr>
        <w:footnoteReference w:id="72"/>
      </w:r>
      <w:r w:rsidRPr="00CF742B">
        <w:rPr>
          <w:rStyle w:val="aa"/>
          <w:rtl/>
        </w:rPr>
        <w:t>)</w:t>
      </w:r>
    </w:p>
    <w:p w14:paraId="36A8AE8C" w14:textId="77777777" w:rsidR="00C742E9" w:rsidRPr="00CF742B" w:rsidRDefault="00C742E9" w:rsidP="00C742E9">
      <w:pPr>
        <w:ind w:left="360"/>
        <w:rPr>
          <w:sz w:val="16"/>
          <w:szCs w:val="18"/>
          <w:rtl/>
        </w:rPr>
      </w:pPr>
    </w:p>
    <w:p w14:paraId="003D0A54" w14:textId="77777777" w:rsidR="00C742E9" w:rsidRPr="00CF742B" w:rsidRDefault="00C742E9" w:rsidP="00C742E9">
      <w:pPr>
        <w:rPr>
          <w:b/>
          <w:bCs/>
          <w:rtl/>
        </w:rPr>
      </w:pPr>
      <w:r w:rsidRPr="00CF742B">
        <w:rPr>
          <w:rFonts w:hint="cs"/>
          <w:b/>
          <w:bCs/>
          <w:rtl/>
        </w:rPr>
        <w:t>القول الخامس: تقدير اليسير بالعرف.</w:t>
      </w:r>
    </w:p>
    <w:p w14:paraId="40C1E759" w14:textId="7DD38C32" w:rsidR="00C742E9" w:rsidRPr="00CF742B" w:rsidRDefault="00C742E9" w:rsidP="00C742E9">
      <w:pPr>
        <w:spacing w:after="120"/>
        <w:ind w:firstLine="567"/>
        <w:rPr>
          <w:rtl/>
        </w:rPr>
      </w:pPr>
      <w:r w:rsidRPr="00CF742B">
        <w:rPr>
          <w:rFonts w:hint="cs"/>
          <w:rtl/>
        </w:rPr>
        <w:t>وهذا القول أرى أنه أوسع الأقوال ويندرج تحته كثير من المسائل الفقهية، ويظهر لي أن كثير</w:t>
      </w:r>
      <w:r w:rsidR="005F7C17">
        <w:rPr>
          <w:rFonts w:hint="cs"/>
          <w:rtl/>
        </w:rPr>
        <w:t>ًا</w:t>
      </w:r>
      <w:r w:rsidRPr="00CF742B">
        <w:rPr>
          <w:rFonts w:hint="cs"/>
          <w:rtl/>
        </w:rPr>
        <w:t xml:space="preserve"> من التقديرات التي وضعها الفقهاء كفصل بين اليسير والكثير لا تكاد تخرج عنه، إلا ما </w:t>
      </w:r>
      <w:r w:rsidRPr="00CF742B">
        <w:rPr>
          <w:rFonts w:hint="cs"/>
          <w:rtl/>
        </w:rPr>
        <w:lastRenderedPageBreak/>
        <w:t>كان بدليل يخصه أو يخرَّج عليه، وبه قالت المذاهب الأربعة في كثير من المسائل، وأكثر الآخذين به الشافعية والحنابلة كما سيأتي.</w:t>
      </w:r>
    </w:p>
    <w:p w14:paraId="69D508F6" w14:textId="69931B72" w:rsidR="00C742E9" w:rsidRPr="00CF742B" w:rsidRDefault="00C742E9" w:rsidP="00C742E9">
      <w:pPr>
        <w:spacing w:after="120"/>
        <w:ind w:firstLine="567"/>
        <w:rPr>
          <w:rtl/>
        </w:rPr>
      </w:pPr>
      <w:r w:rsidRPr="00CF742B">
        <w:rPr>
          <w:rFonts w:hint="cs"/>
          <w:rtl/>
        </w:rPr>
        <w:t>والتقدير بالعرف من التقديرات المعتبرة شرع</w:t>
      </w:r>
      <w:r w:rsidR="005F7C17">
        <w:rPr>
          <w:rFonts w:hint="cs"/>
          <w:rtl/>
        </w:rPr>
        <w:t>ًا</w:t>
      </w:r>
      <w:r w:rsidRPr="00CF742B">
        <w:rPr>
          <w:rFonts w:hint="cs"/>
          <w:rtl/>
        </w:rPr>
        <w:t xml:space="preserve"> بأدلة كثيرة، منها:</w:t>
      </w:r>
    </w:p>
    <w:p w14:paraId="2CC5C678" w14:textId="77777777" w:rsidR="00C742E9" w:rsidRPr="00CF742B" w:rsidRDefault="00C742E9" w:rsidP="00C742E9">
      <w:pPr>
        <w:pStyle w:val="a6"/>
        <w:numPr>
          <w:ilvl w:val="0"/>
          <w:numId w:val="2"/>
        </w:numPr>
        <w:spacing w:after="120"/>
        <w:jc w:val="both"/>
      </w:pPr>
      <w:r w:rsidRPr="00CF742B">
        <w:rPr>
          <w:rFonts w:hint="cs"/>
          <w:rtl/>
        </w:rPr>
        <w:t>قوله تعالى:</w:t>
      </w:r>
      <w:r w:rsidRPr="00CF742B">
        <w:rPr>
          <w:rtl/>
        </w:rPr>
        <w:t xml:space="preserve"> </w:t>
      </w:r>
      <w:r w:rsidRPr="00CF742B">
        <w:rPr>
          <w:szCs w:val="32"/>
          <w:rtl/>
        </w:rPr>
        <w:t>{</w:t>
      </w:r>
      <w:r w:rsidRPr="00CF742B">
        <w:rPr>
          <w:rFonts w:cs="KFGQPC HAFS Uthmanic Script"/>
          <w:szCs w:val="32"/>
          <w:rtl/>
        </w:rPr>
        <w:t xml:space="preserve">وَعَلَى </w:t>
      </w:r>
      <w:r w:rsidRPr="00CF742B">
        <w:rPr>
          <w:rFonts w:cs="KFGQPC HAFS Uthmanic Script" w:hint="cs"/>
          <w:szCs w:val="32"/>
          <w:rtl/>
        </w:rPr>
        <w:t>ٱلۡمَوۡلُودِ</w:t>
      </w:r>
      <w:r w:rsidRPr="00CF742B">
        <w:rPr>
          <w:rFonts w:cs="KFGQPC HAFS Uthmanic Script"/>
          <w:szCs w:val="32"/>
          <w:rtl/>
        </w:rPr>
        <w:t xml:space="preserve"> لَهُ</w:t>
      </w:r>
      <w:r w:rsidRPr="00CF742B">
        <w:rPr>
          <w:rFonts w:cs="KFGQPC HAFS Uthmanic Script" w:hint="cs"/>
          <w:szCs w:val="32"/>
          <w:rtl/>
        </w:rPr>
        <w:t>ۥ</w:t>
      </w:r>
      <w:r w:rsidRPr="00CF742B">
        <w:rPr>
          <w:rFonts w:cs="KFGQPC HAFS Uthmanic Script"/>
          <w:szCs w:val="32"/>
          <w:rtl/>
        </w:rPr>
        <w:t xml:space="preserve"> رِزۡقُهُنَّ وَكِسۡوَتُهُنَّ بِ</w:t>
      </w:r>
      <w:r w:rsidRPr="00CF742B">
        <w:rPr>
          <w:rFonts w:cs="KFGQPC HAFS Uthmanic Script" w:hint="cs"/>
          <w:szCs w:val="32"/>
          <w:rtl/>
        </w:rPr>
        <w:t>ٱلۡمَعۡرُوفِ</w:t>
      </w:r>
      <w:r w:rsidRPr="00CF742B">
        <w:rPr>
          <w:szCs w:val="32"/>
          <w:rtl/>
        </w:rPr>
        <w:t>} [سورة البقرة:233]</w:t>
      </w:r>
      <w:r w:rsidRPr="00CF742B">
        <w:rPr>
          <w:rtl/>
        </w:rPr>
        <w:t>.</w:t>
      </w:r>
    </w:p>
    <w:p w14:paraId="3A5BC229" w14:textId="77777777" w:rsidR="00C742E9" w:rsidRPr="00CF742B" w:rsidRDefault="00C742E9" w:rsidP="00C742E9">
      <w:pPr>
        <w:spacing w:after="120"/>
        <w:ind w:left="567"/>
        <w:jc w:val="both"/>
        <w:rPr>
          <w:b/>
          <w:bCs/>
          <w:rtl/>
        </w:rPr>
      </w:pPr>
      <w:r w:rsidRPr="00CF742B">
        <w:rPr>
          <w:rFonts w:hint="cs"/>
          <w:b/>
          <w:bCs/>
          <w:rtl/>
        </w:rPr>
        <w:t>وجه الدلالة:</w:t>
      </w:r>
    </w:p>
    <w:p w14:paraId="6D346D31" w14:textId="0D8316E6" w:rsidR="00C742E9" w:rsidRPr="00CF742B" w:rsidRDefault="00C742E9" w:rsidP="00C742E9">
      <w:pPr>
        <w:spacing w:after="120"/>
        <w:ind w:left="567"/>
        <w:jc w:val="both"/>
        <w:rPr>
          <w:b/>
          <w:bCs/>
        </w:rPr>
      </w:pPr>
      <w:r w:rsidRPr="00CF742B">
        <w:rPr>
          <w:rFonts w:hint="cs"/>
          <w:rtl/>
        </w:rPr>
        <w:t>اعتبار الشرع للعرف في تحديد النفقة، وجعله مرجع</w:t>
      </w:r>
      <w:r w:rsidR="005F7C17">
        <w:rPr>
          <w:rFonts w:hint="cs"/>
          <w:rtl/>
        </w:rPr>
        <w:t>ًا</w:t>
      </w:r>
      <w:r w:rsidRPr="00CF742B">
        <w:rPr>
          <w:rFonts w:hint="cs"/>
          <w:rtl/>
        </w:rPr>
        <w:t xml:space="preserve"> في تقديرها.</w:t>
      </w:r>
    </w:p>
    <w:p w14:paraId="0F4DE9E3" w14:textId="77777777" w:rsidR="00C742E9" w:rsidRPr="00CF742B" w:rsidRDefault="00C742E9" w:rsidP="00C742E9">
      <w:pPr>
        <w:pStyle w:val="a6"/>
        <w:numPr>
          <w:ilvl w:val="0"/>
          <w:numId w:val="2"/>
        </w:numPr>
        <w:spacing w:after="120"/>
        <w:jc w:val="both"/>
      </w:pPr>
      <w:r w:rsidRPr="00CF742B">
        <w:rPr>
          <w:rFonts w:hint="cs"/>
          <w:rtl/>
        </w:rPr>
        <w:t xml:space="preserve">وقوله تعالى: </w:t>
      </w:r>
      <w:r w:rsidRPr="00CF742B">
        <w:rPr>
          <w:szCs w:val="32"/>
          <w:rtl/>
        </w:rPr>
        <w:t>{</w:t>
      </w:r>
      <w:r w:rsidRPr="00CF742B">
        <w:rPr>
          <w:rFonts w:cs="KFGQPC HAFS Uthmanic Script"/>
          <w:szCs w:val="32"/>
          <w:rtl/>
        </w:rPr>
        <w:t>لِيُنفِقۡ ذُو سَعَةٖ مِّن سَعَتِهِ</w:t>
      </w:r>
      <w:r w:rsidRPr="00CF742B">
        <w:rPr>
          <w:rFonts w:cs="KFGQPC HAFS Uthmanic Script" w:hint="cs"/>
          <w:szCs w:val="32"/>
          <w:rtl/>
        </w:rPr>
        <w:t>ۦۖ</w:t>
      </w:r>
      <w:r w:rsidRPr="00CF742B">
        <w:rPr>
          <w:rFonts w:cs="KFGQPC HAFS Uthmanic Script"/>
          <w:szCs w:val="32"/>
          <w:rtl/>
        </w:rPr>
        <w:t xml:space="preserve"> وَمَن قُدِرَ عَلَيۡهِ رِزۡقُهُ</w:t>
      </w:r>
      <w:r w:rsidRPr="00CF742B">
        <w:rPr>
          <w:rFonts w:cs="KFGQPC HAFS Uthmanic Script" w:hint="cs"/>
          <w:szCs w:val="32"/>
          <w:rtl/>
        </w:rPr>
        <w:t>ۥ</w:t>
      </w:r>
      <w:r w:rsidRPr="00CF742B">
        <w:rPr>
          <w:rFonts w:cs="KFGQPC HAFS Uthmanic Script"/>
          <w:szCs w:val="32"/>
          <w:rtl/>
        </w:rPr>
        <w:t xml:space="preserve"> فَلۡيُنفِقۡ مِمَّآ ءَاتَىٰهُ </w:t>
      </w:r>
      <w:r w:rsidRPr="00CF742B">
        <w:rPr>
          <w:rFonts w:cs="KFGQPC HAFS Uthmanic Script" w:hint="cs"/>
          <w:szCs w:val="32"/>
          <w:rtl/>
        </w:rPr>
        <w:t>ٱللَّهُ</w:t>
      </w:r>
      <w:r w:rsidRPr="00CF742B">
        <w:rPr>
          <w:szCs w:val="32"/>
          <w:rtl/>
        </w:rPr>
        <w:t>} [سورة الطلاق:7]</w:t>
      </w:r>
      <w:r w:rsidRPr="00CF742B">
        <w:rPr>
          <w:rtl/>
        </w:rPr>
        <w:t>.</w:t>
      </w:r>
    </w:p>
    <w:p w14:paraId="3B127152" w14:textId="77777777" w:rsidR="00C742E9" w:rsidRPr="00CF742B" w:rsidRDefault="00C742E9" w:rsidP="00C742E9">
      <w:pPr>
        <w:spacing w:after="120"/>
        <w:ind w:left="567"/>
        <w:jc w:val="both"/>
        <w:rPr>
          <w:b/>
          <w:bCs/>
        </w:rPr>
      </w:pPr>
      <w:r w:rsidRPr="00CF742B">
        <w:rPr>
          <w:rFonts w:hint="cs"/>
          <w:b/>
          <w:bCs/>
          <w:rtl/>
        </w:rPr>
        <w:t>وجه الدلالة:</w:t>
      </w:r>
    </w:p>
    <w:p w14:paraId="4D92380C" w14:textId="77777777" w:rsidR="00C742E9" w:rsidRPr="00CF742B" w:rsidRDefault="00C742E9" w:rsidP="00C742E9">
      <w:pPr>
        <w:spacing w:after="120"/>
        <w:ind w:left="567"/>
        <w:jc w:val="both"/>
        <w:rPr>
          <w:rtl/>
        </w:rPr>
      </w:pPr>
      <w:r w:rsidRPr="00CF742B">
        <w:rPr>
          <w:rFonts w:hint="cs"/>
          <w:rtl/>
        </w:rPr>
        <w:t>أ</w:t>
      </w:r>
      <w:r w:rsidRPr="00CF742B">
        <w:rPr>
          <w:rtl/>
        </w:rPr>
        <w:t>ن الإنفاق ليس له تقدير شرعي، وإنما أحاله الله تعالى على العادة، وهي دليل أصولي، بنى الله تعالى عليه الأحكام، وربط به الحلال والحرام</w:t>
      </w:r>
      <w:r w:rsidRPr="00CF742B">
        <w:rPr>
          <w:rFonts w:hint="cs"/>
          <w:rtl/>
        </w:rPr>
        <w:t>.</w:t>
      </w:r>
      <w:r w:rsidRPr="00CF742B">
        <w:rPr>
          <w:rStyle w:val="aa"/>
          <w:rtl/>
        </w:rPr>
        <w:t>(</w:t>
      </w:r>
      <w:r w:rsidRPr="00CF742B">
        <w:rPr>
          <w:rStyle w:val="aa"/>
          <w:rtl/>
        </w:rPr>
        <w:footnoteReference w:id="73"/>
      </w:r>
      <w:r w:rsidRPr="00CF742B">
        <w:rPr>
          <w:rStyle w:val="aa"/>
          <w:rtl/>
        </w:rPr>
        <w:t>)</w:t>
      </w:r>
      <w:r w:rsidRPr="00CF742B">
        <w:rPr>
          <w:rtl/>
        </w:rPr>
        <w:t xml:space="preserve"> </w:t>
      </w:r>
    </w:p>
    <w:p w14:paraId="7D7CF55A" w14:textId="4F5A6ACD" w:rsidR="00C742E9" w:rsidRPr="00CF742B" w:rsidRDefault="00C742E9" w:rsidP="00C742E9">
      <w:pPr>
        <w:pStyle w:val="a6"/>
        <w:numPr>
          <w:ilvl w:val="0"/>
          <w:numId w:val="2"/>
        </w:numPr>
        <w:spacing w:after="120"/>
        <w:rPr>
          <w:rtl/>
        </w:rPr>
      </w:pPr>
      <w:r w:rsidRPr="00CF742B">
        <w:rPr>
          <w:rtl/>
        </w:rPr>
        <w:t xml:space="preserve">حديث عائشة </w:t>
      </w:r>
      <w:r w:rsidR="000B7965">
        <w:rPr>
          <w:rFonts w:ascii="ATraditional Arabic" w:hAnsi="ATraditional Arabic"/>
          <w:rtl/>
        </w:rPr>
        <w:t>رضي الله عنها</w:t>
      </w:r>
      <w:r w:rsidRPr="00CF742B">
        <w:rPr>
          <w:rtl/>
        </w:rPr>
        <w:t xml:space="preserve">: </w:t>
      </w:r>
      <w:r w:rsidRPr="00CF742B">
        <w:rPr>
          <w:rFonts w:hint="cs"/>
          <w:rtl/>
        </w:rPr>
        <w:t>"</w:t>
      </w:r>
      <w:r w:rsidRPr="00CF742B">
        <w:rPr>
          <w:rtl/>
        </w:rPr>
        <w:t xml:space="preserve">أن هند بنت عتبة </w:t>
      </w:r>
      <w:r w:rsidR="000B7965">
        <w:rPr>
          <w:rFonts w:ascii="ATraditional Arabic" w:hAnsi="ATraditional Arabic"/>
          <w:rtl/>
        </w:rPr>
        <w:t>رضي الله عنها</w:t>
      </w:r>
      <w:r w:rsidRPr="00CF742B">
        <w:rPr>
          <w:rFonts w:hint="cs"/>
          <w:rtl/>
        </w:rPr>
        <w:t xml:space="preserve"> </w:t>
      </w:r>
      <w:r w:rsidRPr="00CF742B">
        <w:rPr>
          <w:rtl/>
        </w:rPr>
        <w:t>قالت: يا رسول الله، إن أبا سفيان رجل شحيح، وليس يعطيني وولدي إلا ما أخذت منه وهو لا يعلم، فقال</w:t>
      </w:r>
      <w:r w:rsidRPr="00CF742B">
        <w:rPr>
          <w:rFonts w:hint="cs"/>
          <w:rtl/>
        </w:rPr>
        <w:t xml:space="preserve"> </w:t>
      </w:r>
      <w:r w:rsidR="000B7965">
        <w:rPr>
          <w:rFonts w:hint="cs"/>
          <w:rtl/>
        </w:rPr>
        <w:t>صلى الله عليه وسلم</w:t>
      </w:r>
      <w:r w:rsidRPr="00CF742B">
        <w:rPr>
          <w:rtl/>
        </w:rPr>
        <w:t xml:space="preserve">: </w:t>
      </w:r>
      <w:r w:rsidRPr="00CF742B">
        <w:rPr>
          <w:rFonts w:hint="cs"/>
          <w:rtl/>
        </w:rPr>
        <w:t>(</w:t>
      </w:r>
      <w:r w:rsidRPr="00CF742B">
        <w:rPr>
          <w:rtl/>
        </w:rPr>
        <w:t>خذي ما يكفيك وولدك بالمعروف</w:t>
      </w:r>
      <w:r w:rsidRPr="00CF742B">
        <w:rPr>
          <w:rFonts w:hint="cs"/>
          <w:rtl/>
        </w:rPr>
        <w:t>)".</w:t>
      </w:r>
      <w:r w:rsidRPr="00CF742B">
        <w:rPr>
          <w:rStyle w:val="aa"/>
          <w:rtl/>
        </w:rPr>
        <w:t>(</w:t>
      </w:r>
      <w:r w:rsidRPr="00CF742B">
        <w:rPr>
          <w:rStyle w:val="aa"/>
          <w:rtl/>
        </w:rPr>
        <w:footnoteReference w:id="74"/>
      </w:r>
      <w:r w:rsidRPr="00CF742B">
        <w:rPr>
          <w:rStyle w:val="aa"/>
          <w:rtl/>
        </w:rPr>
        <w:t>)</w:t>
      </w:r>
      <w:r w:rsidRPr="00CF742B">
        <w:rPr>
          <w:rtl/>
        </w:rPr>
        <w:t xml:space="preserve"> </w:t>
      </w:r>
    </w:p>
    <w:p w14:paraId="3DDD8B76" w14:textId="77777777" w:rsidR="00C742E9" w:rsidRPr="00CF742B" w:rsidRDefault="00C742E9" w:rsidP="00C742E9">
      <w:pPr>
        <w:spacing w:after="120"/>
        <w:ind w:firstLine="567"/>
        <w:rPr>
          <w:b/>
          <w:bCs/>
          <w:rtl/>
        </w:rPr>
      </w:pPr>
      <w:r w:rsidRPr="00CF742B">
        <w:rPr>
          <w:rFonts w:hint="cs"/>
          <w:b/>
          <w:bCs/>
          <w:rtl/>
        </w:rPr>
        <w:t>وجه الدلالة:</w:t>
      </w:r>
    </w:p>
    <w:p w14:paraId="773BFAD1" w14:textId="77777777" w:rsidR="00C742E9" w:rsidRPr="00CF742B" w:rsidRDefault="00C742E9" w:rsidP="00C742E9">
      <w:pPr>
        <w:spacing w:after="120"/>
        <w:ind w:firstLine="567"/>
        <w:rPr>
          <w:rtl/>
        </w:rPr>
      </w:pPr>
      <w:r w:rsidRPr="00CF742B">
        <w:rPr>
          <w:rFonts w:hint="cs"/>
          <w:rtl/>
        </w:rPr>
        <w:lastRenderedPageBreak/>
        <w:t xml:space="preserve">في الحديث اعتماد </w:t>
      </w:r>
      <w:r w:rsidRPr="00CF742B">
        <w:rPr>
          <w:rtl/>
        </w:rPr>
        <w:t>العرف في الأمور التي لا تحديد فيها من قبل الشارع</w:t>
      </w:r>
      <w:r w:rsidRPr="00CF742B">
        <w:rPr>
          <w:rFonts w:hint="cs"/>
          <w:rtl/>
        </w:rPr>
        <w:t>.</w:t>
      </w:r>
      <w:r w:rsidRPr="00CF742B">
        <w:rPr>
          <w:rStyle w:val="aa"/>
          <w:rtl/>
        </w:rPr>
        <w:t>(</w:t>
      </w:r>
      <w:r w:rsidRPr="00CF742B">
        <w:rPr>
          <w:rStyle w:val="aa"/>
          <w:rtl/>
        </w:rPr>
        <w:footnoteReference w:id="75"/>
      </w:r>
      <w:r w:rsidRPr="00CF742B">
        <w:rPr>
          <w:rStyle w:val="aa"/>
          <w:rtl/>
        </w:rPr>
        <w:t>)</w:t>
      </w:r>
      <w:r w:rsidRPr="00CF742B">
        <w:rPr>
          <w:rtl/>
        </w:rPr>
        <w:t xml:space="preserve"> </w:t>
      </w:r>
    </w:p>
    <w:p w14:paraId="531212AB" w14:textId="77777777" w:rsidR="00C742E9" w:rsidRPr="00CF742B" w:rsidRDefault="00C742E9" w:rsidP="00C742E9">
      <w:pPr>
        <w:spacing w:after="120"/>
        <w:ind w:firstLine="567"/>
        <w:rPr>
          <w:rtl/>
        </w:rPr>
      </w:pPr>
      <w:r w:rsidRPr="00CF742B">
        <w:rPr>
          <w:rFonts w:hint="cs"/>
          <w:rtl/>
        </w:rPr>
        <w:t>والأدلة على اعتبار العرف كثيرة.</w:t>
      </w:r>
    </w:p>
    <w:p w14:paraId="776315F1" w14:textId="77777777" w:rsidR="00C742E9" w:rsidRPr="00CF742B" w:rsidRDefault="00C742E9" w:rsidP="00C742E9">
      <w:pPr>
        <w:spacing w:after="120"/>
        <w:ind w:firstLine="567"/>
        <w:rPr>
          <w:rtl/>
        </w:rPr>
      </w:pPr>
      <w:r w:rsidRPr="00CF742B">
        <w:rPr>
          <w:rFonts w:hint="cs"/>
          <w:rtl/>
        </w:rPr>
        <w:t>ويمكن تقسيم نصوص الفقهاء القائلة بالعرف إلى حالين:</w:t>
      </w:r>
    </w:p>
    <w:p w14:paraId="2F4DA701" w14:textId="47445A85" w:rsidR="00C742E9" w:rsidRPr="00CF742B" w:rsidRDefault="00C742E9" w:rsidP="00C742E9">
      <w:pPr>
        <w:spacing w:after="120"/>
        <w:ind w:firstLine="567"/>
        <w:rPr>
          <w:rtl/>
        </w:rPr>
      </w:pPr>
      <w:r w:rsidRPr="00CF742B">
        <w:rPr>
          <w:rFonts w:hint="cs"/>
          <w:b/>
          <w:bCs/>
          <w:u w:val="single"/>
          <w:rtl/>
        </w:rPr>
        <w:t>الحال الأولى:</w:t>
      </w:r>
      <w:r w:rsidRPr="00CF742B">
        <w:rPr>
          <w:rFonts w:hint="cs"/>
          <w:rtl/>
        </w:rPr>
        <w:t xml:space="preserve"> عدم التصريح بالعرف، حيث أن كثير</w:t>
      </w:r>
      <w:r w:rsidR="005F7C17">
        <w:rPr>
          <w:rFonts w:hint="cs"/>
          <w:rtl/>
        </w:rPr>
        <w:t>ًا</w:t>
      </w:r>
      <w:r w:rsidRPr="00CF742B">
        <w:rPr>
          <w:rFonts w:hint="cs"/>
          <w:rtl/>
        </w:rPr>
        <w:t xml:space="preserve"> مما ورد في كتب الفقهاء من جعل حد فاصل بين اليسير والكثير مردها حقيقة إلى عرف الناس وعادتهم، وإن كانوا لم يصرّحوا بذلك ولم ينصوا عليه، إلا أنه في الحقيقة هو غاية قولهم وما يؤول إليه رأيهم.</w:t>
      </w:r>
    </w:p>
    <w:p w14:paraId="510C8CEE" w14:textId="2E2D9F6A" w:rsidR="00C742E9" w:rsidRPr="00CF742B" w:rsidRDefault="00C742E9" w:rsidP="00C742E9">
      <w:pPr>
        <w:spacing w:after="120"/>
        <w:ind w:firstLine="567"/>
        <w:rPr>
          <w:rtl/>
        </w:rPr>
      </w:pPr>
      <w:r w:rsidRPr="00CF742B">
        <w:rPr>
          <w:rFonts w:hint="cs"/>
          <w:rtl/>
        </w:rPr>
        <w:t>ووجه هذا القول: أن تلك التقديرات التي جعلوها فيصل</w:t>
      </w:r>
      <w:r w:rsidR="005F7C17">
        <w:rPr>
          <w:rFonts w:hint="cs"/>
          <w:rtl/>
        </w:rPr>
        <w:t>ًا</w:t>
      </w:r>
      <w:r w:rsidRPr="00CF742B">
        <w:rPr>
          <w:rFonts w:hint="cs"/>
          <w:rtl/>
        </w:rPr>
        <w:t xml:space="preserve"> بين اليسير وضده إنما رجعوا فيها إلى ما ظهر لهم من العرف السائر عندهم، فكان من كمال حرصهم على الضبط والتحرير وألا يدعوا المسألة مطلقة فضفاضة؛ سعوا إلى وضع حد أصله مبني على العرف، يضبط اليسير والكثير ويكون مرجع</w:t>
      </w:r>
      <w:r w:rsidR="005F7C17">
        <w:rPr>
          <w:rFonts w:hint="cs"/>
          <w:rtl/>
        </w:rPr>
        <w:t>ًا</w:t>
      </w:r>
      <w:r w:rsidRPr="00CF742B">
        <w:rPr>
          <w:rFonts w:hint="cs"/>
          <w:rtl/>
        </w:rPr>
        <w:t xml:space="preserve"> واضح</w:t>
      </w:r>
      <w:r w:rsidR="005F7C17">
        <w:rPr>
          <w:rFonts w:hint="cs"/>
          <w:rtl/>
        </w:rPr>
        <w:t>ًا</w:t>
      </w:r>
      <w:r w:rsidRPr="00CF742B">
        <w:rPr>
          <w:rFonts w:hint="cs"/>
          <w:rtl/>
        </w:rPr>
        <w:t xml:space="preserve"> لمن رامه، إذ لا سبيل لهذا التقدير إلا بالعرف، فجعلوا معايير لكثير من المسائل، وعبّروا عنها بأقرب ما يدل عليه ذلك العرف من الأوصاف أو الأعداد أو الأحوال التي تكون حد</w:t>
      </w:r>
      <w:r w:rsidR="005F7C17">
        <w:rPr>
          <w:rFonts w:hint="cs"/>
          <w:rtl/>
        </w:rPr>
        <w:t>ًا</w:t>
      </w:r>
      <w:r w:rsidRPr="00CF742B">
        <w:rPr>
          <w:rFonts w:hint="cs"/>
          <w:rtl/>
        </w:rPr>
        <w:t xml:space="preserve"> مقدّر</w:t>
      </w:r>
      <w:r w:rsidR="005F7C17">
        <w:rPr>
          <w:rFonts w:hint="cs"/>
          <w:rtl/>
        </w:rPr>
        <w:t>ًا</w:t>
      </w:r>
      <w:r w:rsidRPr="00CF742B">
        <w:rPr>
          <w:rFonts w:hint="cs"/>
          <w:rtl/>
        </w:rPr>
        <w:t xml:space="preserve"> بيّن</w:t>
      </w:r>
      <w:r w:rsidR="005F7C17">
        <w:rPr>
          <w:rFonts w:hint="cs"/>
          <w:rtl/>
        </w:rPr>
        <w:t>ًا</w:t>
      </w:r>
      <w:r w:rsidRPr="00CF742B">
        <w:rPr>
          <w:rFonts w:hint="cs"/>
          <w:rtl/>
        </w:rPr>
        <w:t>، كما في قول الزركشي عند مسألة انتقاض الطهارة بالنوم</w:t>
      </w:r>
      <w:r w:rsidRPr="00CF742B">
        <w:rPr>
          <w:rtl/>
        </w:rPr>
        <w:t xml:space="preserve">: </w:t>
      </w:r>
      <w:r w:rsidRPr="00CF742B">
        <w:rPr>
          <w:rFonts w:hint="cs"/>
          <w:rtl/>
        </w:rPr>
        <w:t>"</w:t>
      </w:r>
      <w:r w:rsidRPr="00CF742B">
        <w:rPr>
          <w:rtl/>
        </w:rPr>
        <w:t>وإذا سقط الساجد عن هيئته والقائم من قيامه ونحو ذلك بطلت طهارته؛ لأن أهل ‌العرف يعدون ذلك كثير</w:t>
      </w:r>
      <w:r w:rsidR="005F7C17">
        <w:rPr>
          <w:rtl/>
        </w:rPr>
        <w:t>ًا</w:t>
      </w:r>
      <w:r w:rsidRPr="00CF742B">
        <w:rPr>
          <w:rFonts w:hint="cs"/>
          <w:rtl/>
        </w:rPr>
        <w:t>"</w:t>
      </w:r>
      <w:r w:rsidRPr="00CF742B">
        <w:rPr>
          <w:rStyle w:val="aa"/>
          <w:rtl/>
        </w:rPr>
        <w:t>(</w:t>
      </w:r>
      <w:r w:rsidRPr="00CF742B">
        <w:rPr>
          <w:rStyle w:val="aa"/>
          <w:rtl/>
        </w:rPr>
        <w:footnoteReference w:id="76"/>
      </w:r>
      <w:r w:rsidRPr="00CF742B">
        <w:rPr>
          <w:rStyle w:val="aa"/>
          <w:rtl/>
        </w:rPr>
        <w:t>)</w:t>
      </w:r>
      <w:r w:rsidRPr="00CF742B">
        <w:rPr>
          <w:rFonts w:hint="cs"/>
          <w:rtl/>
        </w:rPr>
        <w:t>، فجعل سقوط النائم عن هيئته معيار</w:t>
      </w:r>
      <w:r w:rsidR="005F7C17">
        <w:rPr>
          <w:rFonts w:hint="cs"/>
          <w:rtl/>
        </w:rPr>
        <w:t>ًا</w:t>
      </w:r>
      <w:r w:rsidRPr="00CF742B">
        <w:rPr>
          <w:rFonts w:hint="cs"/>
          <w:rtl/>
        </w:rPr>
        <w:t xml:space="preserve"> للنوم الكثير بناءً على العرف، وليس حد</w:t>
      </w:r>
      <w:r w:rsidR="005F7C17">
        <w:rPr>
          <w:rFonts w:hint="cs"/>
          <w:rtl/>
        </w:rPr>
        <w:t>ًا</w:t>
      </w:r>
      <w:r w:rsidRPr="00CF742B">
        <w:rPr>
          <w:rFonts w:hint="cs"/>
          <w:rtl/>
        </w:rPr>
        <w:t xml:space="preserve"> بذاته.</w:t>
      </w:r>
    </w:p>
    <w:p w14:paraId="69876FCF" w14:textId="77777777" w:rsidR="00C742E9" w:rsidRPr="00CF742B" w:rsidRDefault="00C742E9" w:rsidP="00C742E9">
      <w:pPr>
        <w:spacing w:after="120"/>
        <w:ind w:firstLine="567"/>
        <w:rPr>
          <w:b/>
          <w:bCs/>
          <w:rtl/>
        </w:rPr>
      </w:pPr>
      <w:r w:rsidRPr="00CF742B">
        <w:rPr>
          <w:rFonts w:hint="cs"/>
          <w:b/>
          <w:bCs/>
          <w:rtl/>
        </w:rPr>
        <w:t xml:space="preserve">ومن الأمثلة على تلك المسائل: </w:t>
      </w:r>
    </w:p>
    <w:p w14:paraId="0BD940E1" w14:textId="4001B185" w:rsidR="00C742E9" w:rsidRPr="00CF742B" w:rsidRDefault="00C742E9" w:rsidP="00C742E9">
      <w:pPr>
        <w:spacing w:after="120"/>
        <w:ind w:firstLine="567"/>
        <w:rPr>
          <w:rtl/>
        </w:rPr>
      </w:pPr>
      <w:r w:rsidRPr="00CF742B">
        <w:rPr>
          <w:rFonts w:hint="cs"/>
          <w:rtl/>
        </w:rPr>
        <w:t xml:space="preserve">ما وصفوا حد اليسير فيه </w:t>
      </w:r>
      <w:r w:rsidRPr="00CF742B">
        <w:rPr>
          <w:rFonts w:hint="cs"/>
          <w:b/>
          <w:bCs/>
          <w:rtl/>
        </w:rPr>
        <w:t>بما لا يُشعر بالإعراض</w:t>
      </w:r>
      <w:r w:rsidRPr="00CF742B">
        <w:rPr>
          <w:rFonts w:hint="cs"/>
          <w:rtl/>
        </w:rPr>
        <w:t>، كما في المسائل المتعلقة بالموالاة، كالفصل في قراءة الفاتحة في الصلاة، وكذلك الفصل بين كلمات الأذان، وكالفصل بين العقد والإيجاب في البيع والنكاح، قال النووي رحمه الله: "</w:t>
      </w:r>
      <w:r w:rsidRPr="00CF742B">
        <w:rPr>
          <w:rtl/>
        </w:rPr>
        <w:t>فإن ‌أخل ‌بالموالاة فله حالان</w:t>
      </w:r>
      <w:r w:rsidRPr="00CF742B">
        <w:rPr>
          <w:rFonts w:hint="cs"/>
          <w:rtl/>
        </w:rPr>
        <w:t xml:space="preserve">، </w:t>
      </w:r>
      <w:r w:rsidRPr="00CF742B">
        <w:rPr>
          <w:rFonts w:hint="cs"/>
          <w:rtl/>
        </w:rPr>
        <w:lastRenderedPageBreak/>
        <w:t>أحدهما:</w:t>
      </w:r>
      <w:r w:rsidRPr="00CF742B">
        <w:rPr>
          <w:rtl/>
        </w:rPr>
        <w:t xml:space="preserve"> أن يكون عامد</w:t>
      </w:r>
      <w:r w:rsidR="005F7C17">
        <w:rPr>
          <w:rtl/>
        </w:rPr>
        <w:t>ًا</w:t>
      </w:r>
      <w:r w:rsidRPr="00CF742B">
        <w:rPr>
          <w:rFonts w:hint="cs"/>
          <w:rtl/>
        </w:rPr>
        <w:t>،</w:t>
      </w:r>
      <w:r w:rsidRPr="00CF742B">
        <w:rPr>
          <w:rtl/>
        </w:rPr>
        <w:t xml:space="preserve"> فينظر إن سكت في أثناء الفاتحة طويل</w:t>
      </w:r>
      <w:r w:rsidR="005F7C17">
        <w:rPr>
          <w:rtl/>
        </w:rPr>
        <w:t>ًا</w:t>
      </w:r>
      <w:r w:rsidRPr="00CF742B">
        <w:rPr>
          <w:rtl/>
        </w:rPr>
        <w:t xml:space="preserve"> بحيث أشعر بقطعه القراءة أو إعراضه عنها مختار</w:t>
      </w:r>
      <w:r w:rsidR="005F7C17">
        <w:rPr>
          <w:rtl/>
        </w:rPr>
        <w:t>ًا</w:t>
      </w:r>
      <w:r w:rsidRPr="00CF742B">
        <w:rPr>
          <w:rtl/>
        </w:rPr>
        <w:t xml:space="preserve"> أو لعائق</w:t>
      </w:r>
      <w:r w:rsidRPr="00CF742B">
        <w:rPr>
          <w:rFonts w:hint="cs"/>
          <w:rtl/>
        </w:rPr>
        <w:t>؛</w:t>
      </w:r>
      <w:r w:rsidRPr="00CF742B">
        <w:rPr>
          <w:rtl/>
        </w:rPr>
        <w:t xml:space="preserve"> بطلت قراءته</w:t>
      </w:r>
      <w:r w:rsidRPr="00CF742B">
        <w:rPr>
          <w:rFonts w:hint="cs"/>
          <w:rtl/>
        </w:rPr>
        <w:t>،</w:t>
      </w:r>
      <w:r w:rsidRPr="00CF742B">
        <w:rPr>
          <w:rtl/>
        </w:rPr>
        <w:t xml:space="preserve"> ووجب استئناف الفاتحة</w:t>
      </w:r>
      <w:r w:rsidRPr="00CF742B">
        <w:rPr>
          <w:rFonts w:hint="cs"/>
          <w:rtl/>
        </w:rPr>
        <w:t>"</w:t>
      </w:r>
      <w:r w:rsidRPr="00CF742B">
        <w:rPr>
          <w:rStyle w:val="aa"/>
          <w:rtl/>
        </w:rPr>
        <w:t>(</w:t>
      </w:r>
      <w:r w:rsidRPr="00CF742B">
        <w:rPr>
          <w:rStyle w:val="aa"/>
          <w:rtl/>
        </w:rPr>
        <w:footnoteReference w:id="77"/>
      </w:r>
      <w:r w:rsidRPr="00CF742B">
        <w:rPr>
          <w:rStyle w:val="aa"/>
          <w:rtl/>
        </w:rPr>
        <w:t>)</w:t>
      </w:r>
      <w:r w:rsidRPr="00CF742B">
        <w:rPr>
          <w:rFonts w:hint="cs"/>
          <w:rtl/>
        </w:rPr>
        <w:t xml:space="preserve">. </w:t>
      </w:r>
    </w:p>
    <w:p w14:paraId="289AA1B3" w14:textId="77777777" w:rsidR="00C742E9" w:rsidRPr="00CF742B" w:rsidRDefault="00C742E9" w:rsidP="00C742E9">
      <w:pPr>
        <w:rPr>
          <w:rtl/>
        </w:rPr>
      </w:pPr>
      <w:r w:rsidRPr="00CF742B">
        <w:rPr>
          <w:rFonts w:hint="cs"/>
          <w:rtl/>
        </w:rPr>
        <w:t>وقال السيوطي رحمه الله: "</w:t>
      </w:r>
      <w:r w:rsidRPr="00CF742B">
        <w:rPr>
          <w:rtl/>
        </w:rPr>
        <w:t>وأما البيع والنكاح ونحوهما فضابط الفصل الطويل فيها: ما أشعر بإعراضه عن القبول</w:t>
      </w:r>
      <w:r w:rsidRPr="00CF742B">
        <w:rPr>
          <w:rFonts w:hint="cs"/>
          <w:rtl/>
        </w:rPr>
        <w:t>"</w:t>
      </w:r>
      <w:r w:rsidRPr="00CF742B">
        <w:rPr>
          <w:rStyle w:val="aa"/>
          <w:rtl/>
        </w:rPr>
        <w:t>(</w:t>
      </w:r>
      <w:r w:rsidRPr="00CF742B">
        <w:rPr>
          <w:rStyle w:val="aa"/>
          <w:rtl/>
        </w:rPr>
        <w:footnoteReference w:id="78"/>
      </w:r>
      <w:r w:rsidRPr="00CF742B">
        <w:rPr>
          <w:rStyle w:val="aa"/>
          <w:rtl/>
        </w:rPr>
        <w:t>)</w:t>
      </w:r>
      <w:r w:rsidRPr="00CF742B">
        <w:rPr>
          <w:rFonts w:hint="cs"/>
          <w:rtl/>
        </w:rPr>
        <w:t>.</w:t>
      </w:r>
    </w:p>
    <w:p w14:paraId="4F3A1F13" w14:textId="6316F7ED" w:rsidR="00C742E9" w:rsidRPr="00CF742B" w:rsidRDefault="00C742E9" w:rsidP="00C742E9">
      <w:pPr>
        <w:spacing w:after="120"/>
        <w:ind w:firstLine="567"/>
        <w:rPr>
          <w:rtl/>
        </w:rPr>
      </w:pPr>
      <w:r w:rsidRPr="00CF742B">
        <w:rPr>
          <w:rFonts w:hint="cs"/>
          <w:rtl/>
        </w:rPr>
        <w:t xml:space="preserve">ويلحق بهذا القسم ما ضبطوا يسيره بكونه </w:t>
      </w:r>
      <w:r w:rsidRPr="00CF742B">
        <w:rPr>
          <w:rFonts w:hint="cs"/>
          <w:b/>
          <w:bCs/>
          <w:rtl/>
        </w:rPr>
        <w:t>غير مفضٍ إلى المنازعة</w:t>
      </w:r>
      <w:r w:rsidRPr="00CF742B">
        <w:rPr>
          <w:rFonts w:hint="cs"/>
          <w:rtl/>
        </w:rPr>
        <w:t>، والناظر يجد أن مثل هذا الضابط غير دقيق، ولا يستطيع أحد أن يجعل حد</w:t>
      </w:r>
      <w:r w:rsidR="005F7C17">
        <w:rPr>
          <w:rFonts w:hint="cs"/>
          <w:rtl/>
        </w:rPr>
        <w:t>ًا</w:t>
      </w:r>
      <w:r w:rsidRPr="00CF742B">
        <w:rPr>
          <w:rFonts w:hint="cs"/>
          <w:rtl/>
        </w:rPr>
        <w:t xml:space="preserve"> لما يفضي إلى المنازعة من عدمها إلا من خلال العرف الواقع بين الناس، فقد جاء في بدائع الصنائع في بيان جواز الجهالة اليسيرة في الإجارة قوله: "</w:t>
      </w:r>
      <w:r w:rsidRPr="00CF742B">
        <w:rPr>
          <w:rtl/>
        </w:rPr>
        <w:t>فلا تكون الجهالة مفضية إلى المنازعة</w:t>
      </w:r>
      <w:r w:rsidRPr="00CF742B">
        <w:rPr>
          <w:rFonts w:hint="cs"/>
          <w:rtl/>
        </w:rPr>
        <w:t xml:space="preserve"> </w:t>
      </w:r>
      <w:r w:rsidRPr="00CF742B">
        <w:rPr>
          <w:rtl/>
        </w:rPr>
        <w:t xml:space="preserve">كجهالة المدة وقدر الماء الذي يستعمل في الحمام، </w:t>
      </w:r>
      <w:r w:rsidRPr="00CF742B">
        <w:rPr>
          <w:rFonts w:hint="cs"/>
          <w:rtl/>
        </w:rPr>
        <w:t>...</w:t>
      </w:r>
      <w:r w:rsidRPr="00CF742B">
        <w:rPr>
          <w:rtl/>
        </w:rPr>
        <w:t xml:space="preserve"> لأن مقدار البدن معلوم بالعادة والتفاوت فيه ‌يسير لا يفضي إلى المنازعة</w:t>
      </w:r>
      <w:r w:rsidRPr="00CF742B">
        <w:rPr>
          <w:rFonts w:hint="cs"/>
          <w:rtl/>
        </w:rPr>
        <w:t>"</w:t>
      </w:r>
      <w:r w:rsidRPr="00CF742B">
        <w:rPr>
          <w:rStyle w:val="aa"/>
          <w:rtl/>
        </w:rPr>
        <w:t>(</w:t>
      </w:r>
      <w:r w:rsidRPr="00CF742B">
        <w:rPr>
          <w:rStyle w:val="aa"/>
          <w:rtl/>
        </w:rPr>
        <w:footnoteReference w:id="79"/>
      </w:r>
      <w:r w:rsidRPr="00CF742B">
        <w:rPr>
          <w:rStyle w:val="aa"/>
          <w:rtl/>
        </w:rPr>
        <w:t>)</w:t>
      </w:r>
      <w:r w:rsidRPr="00CF742B">
        <w:rPr>
          <w:rFonts w:hint="cs"/>
          <w:rtl/>
        </w:rPr>
        <w:t>.</w:t>
      </w:r>
    </w:p>
    <w:p w14:paraId="03C70DF2" w14:textId="21176AE8" w:rsidR="00C742E9" w:rsidRPr="00CF742B" w:rsidRDefault="00C742E9" w:rsidP="00C742E9">
      <w:pPr>
        <w:spacing w:after="120"/>
        <w:ind w:firstLine="567"/>
        <w:rPr>
          <w:rtl/>
        </w:rPr>
      </w:pPr>
      <w:r w:rsidRPr="00CF742B">
        <w:rPr>
          <w:rFonts w:hint="cs"/>
          <w:rtl/>
        </w:rPr>
        <w:t xml:space="preserve">ويدخل تحت هذا الباب ما عبّروا عنه: بأن </w:t>
      </w:r>
      <w:r w:rsidRPr="00CF742B">
        <w:rPr>
          <w:rFonts w:hint="cs"/>
          <w:b/>
          <w:bCs/>
          <w:rtl/>
        </w:rPr>
        <w:t>الاحتراز منه شاق</w:t>
      </w:r>
      <w:r w:rsidRPr="00CF742B">
        <w:rPr>
          <w:rFonts w:hint="cs"/>
          <w:rtl/>
        </w:rPr>
        <w:t xml:space="preserve"> في العادة؛ لكونه يسير</w:t>
      </w:r>
      <w:r w:rsidR="005F7C17">
        <w:rPr>
          <w:rFonts w:hint="cs"/>
          <w:rtl/>
        </w:rPr>
        <w:t>ًا</w:t>
      </w:r>
      <w:r w:rsidRPr="00CF742B">
        <w:rPr>
          <w:rFonts w:hint="cs"/>
          <w:rtl/>
        </w:rPr>
        <w:t>، قال ابن قدامة رحمه الله: "</w:t>
      </w:r>
      <w:r w:rsidRPr="00CF742B">
        <w:rPr>
          <w:rtl/>
        </w:rPr>
        <w:t xml:space="preserve"> ومن شروط جواز المسح على العمامة، أن تكون ساترة لجميع الرأس، إلا ما جرت العادة بكشفه، كمقدم الرأس والأذنين، وشبههما من جوانب الرأس، فإنه يعفى عنه، بخلاف الخرق اليسير في الخف، فإنه لا يعفى عنه</w:t>
      </w:r>
      <w:r w:rsidRPr="00CF742B">
        <w:rPr>
          <w:rFonts w:hint="cs"/>
          <w:rtl/>
        </w:rPr>
        <w:t xml:space="preserve">؛ </w:t>
      </w:r>
      <w:r w:rsidRPr="00CF742B">
        <w:rPr>
          <w:rtl/>
        </w:rPr>
        <w:t>لأن هذا الكشف جرت العادة به</w:t>
      </w:r>
      <w:r w:rsidRPr="00CF742B">
        <w:rPr>
          <w:rFonts w:hint="cs"/>
          <w:rtl/>
        </w:rPr>
        <w:t>؛</w:t>
      </w:r>
      <w:r w:rsidRPr="00CF742B">
        <w:rPr>
          <w:rtl/>
        </w:rPr>
        <w:t xml:space="preserve"> لمشقة التحرز عنه</w:t>
      </w:r>
      <w:r w:rsidRPr="00CF742B">
        <w:rPr>
          <w:rFonts w:hint="cs"/>
          <w:rtl/>
        </w:rPr>
        <w:t>"</w:t>
      </w:r>
      <w:r w:rsidRPr="00CF742B">
        <w:rPr>
          <w:rStyle w:val="aa"/>
          <w:rtl/>
        </w:rPr>
        <w:t>(</w:t>
      </w:r>
      <w:r w:rsidRPr="00CF742B">
        <w:rPr>
          <w:rStyle w:val="aa"/>
          <w:rtl/>
        </w:rPr>
        <w:footnoteReference w:id="80"/>
      </w:r>
      <w:r w:rsidRPr="00CF742B">
        <w:rPr>
          <w:rStyle w:val="aa"/>
          <w:rtl/>
        </w:rPr>
        <w:t>)</w:t>
      </w:r>
      <w:r w:rsidRPr="00CF742B">
        <w:rPr>
          <w:rFonts w:hint="cs"/>
          <w:rtl/>
        </w:rPr>
        <w:t>، وجاء في بدائع الصنائع: "</w:t>
      </w:r>
      <w:r w:rsidRPr="00CF742B">
        <w:rPr>
          <w:rtl/>
        </w:rPr>
        <w:t xml:space="preserve">وإن كان دون الحمصة لا يفسد صومه، </w:t>
      </w:r>
      <w:r w:rsidRPr="00CF742B">
        <w:rPr>
          <w:rFonts w:hint="cs"/>
          <w:rtl/>
        </w:rPr>
        <w:t>...</w:t>
      </w:r>
      <w:r w:rsidRPr="00CF742B">
        <w:rPr>
          <w:rtl/>
        </w:rPr>
        <w:t xml:space="preserve"> ووجهه أن ما دون الحمصة يسير يبقى بين الأسنان عادة، فلا يمكن التحرز عنه بمنزلة الريق</w:t>
      </w:r>
      <w:r w:rsidRPr="00CF742B">
        <w:rPr>
          <w:rFonts w:hint="cs"/>
          <w:rtl/>
        </w:rPr>
        <w:t>"</w:t>
      </w:r>
      <w:r w:rsidRPr="00CF742B">
        <w:rPr>
          <w:rStyle w:val="aa"/>
          <w:rtl/>
        </w:rPr>
        <w:t>(</w:t>
      </w:r>
      <w:r w:rsidRPr="00CF742B">
        <w:rPr>
          <w:rStyle w:val="aa"/>
          <w:rtl/>
        </w:rPr>
        <w:footnoteReference w:id="81"/>
      </w:r>
      <w:r w:rsidRPr="00CF742B">
        <w:rPr>
          <w:rStyle w:val="aa"/>
          <w:rtl/>
        </w:rPr>
        <w:t>)</w:t>
      </w:r>
      <w:r w:rsidRPr="00CF742B">
        <w:rPr>
          <w:rFonts w:hint="cs"/>
          <w:rtl/>
        </w:rPr>
        <w:t>، فنجد أنهم جعلوا العادة حَكَم</w:t>
      </w:r>
      <w:r w:rsidR="005F7C17">
        <w:rPr>
          <w:rFonts w:hint="cs"/>
          <w:rtl/>
        </w:rPr>
        <w:t>ًا</w:t>
      </w:r>
      <w:r w:rsidRPr="00CF742B">
        <w:rPr>
          <w:rFonts w:hint="cs"/>
          <w:rtl/>
        </w:rPr>
        <w:t xml:space="preserve"> في كون الشيء مما يشق التحرز منه، كما أن </w:t>
      </w:r>
      <w:r w:rsidRPr="00CF742B">
        <w:rPr>
          <w:rFonts w:hint="cs"/>
          <w:rtl/>
        </w:rPr>
        <w:lastRenderedPageBreak/>
        <w:t>المشقة ما كانت لتقع إلا لأن المتحرَّز منه يسير، وجاء عن الزركشي: أن "</w:t>
      </w:r>
      <w:r w:rsidRPr="00CF742B">
        <w:rPr>
          <w:rtl/>
        </w:rPr>
        <w:t>القليل ما يتعذر الاحتراز منه</w:t>
      </w:r>
      <w:r w:rsidRPr="00CF742B">
        <w:rPr>
          <w:rFonts w:hint="cs"/>
          <w:rtl/>
        </w:rPr>
        <w:t>"</w:t>
      </w:r>
      <w:r w:rsidRPr="00CF742B">
        <w:rPr>
          <w:rStyle w:val="aa"/>
          <w:rtl/>
        </w:rPr>
        <w:t>(</w:t>
      </w:r>
      <w:r w:rsidRPr="00CF742B">
        <w:rPr>
          <w:rStyle w:val="aa"/>
          <w:rtl/>
        </w:rPr>
        <w:footnoteReference w:id="82"/>
      </w:r>
      <w:r w:rsidRPr="00CF742B">
        <w:rPr>
          <w:rStyle w:val="aa"/>
          <w:rtl/>
        </w:rPr>
        <w:t>)</w:t>
      </w:r>
      <w:r w:rsidRPr="00CF742B">
        <w:rPr>
          <w:rFonts w:hint="cs"/>
          <w:rtl/>
        </w:rPr>
        <w:t>.</w:t>
      </w:r>
    </w:p>
    <w:p w14:paraId="066EC1ED" w14:textId="77777777" w:rsidR="00C742E9" w:rsidRPr="00CF742B" w:rsidRDefault="00C742E9" w:rsidP="00C742E9">
      <w:pPr>
        <w:spacing w:after="120"/>
        <w:ind w:firstLine="567"/>
        <w:rPr>
          <w:rtl/>
        </w:rPr>
      </w:pPr>
      <w:r w:rsidRPr="00CF742B">
        <w:rPr>
          <w:rFonts w:hint="cs"/>
          <w:rtl/>
        </w:rPr>
        <w:t xml:space="preserve">ومن الحدود التي ذكرها الحنفية وتندرج كذلك تحت ضابط العرف؛ حين قدّروا الغبن والعيب اليسير بقولهم: </w:t>
      </w:r>
      <w:r w:rsidRPr="00CF742B">
        <w:rPr>
          <w:rFonts w:hint="cs"/>
          <w:b/>
          <w:bCs/>
          <w:rtl/>
        </w:rPr>
        <w:t>ما يدخل تحت تقويم المقومين</w:t>
      </w:r>
      <w:r w:rsidRPr="00CF742B">
        <w:rPr>
          <w:rStyle w:val="aa"/>
          <w:rtl/>
        </w:rPr>
        <w:t>(</w:t>
      </w:r>
      <w:r w:rsidRPr="00CF742B">
        <w:rPr>
          <w:rStyle w:val="aa"/>
          <w:rtl/>
        </w:rPr>
        <w:footnoteReference w:id="83"/>
      </w:r>
      <w:r w:rsidRPr="00CF742B">
        <w:rPr>
          <w:rStyle w:val="aa"/>
          <w:rtl/>
        </w:rPr>
        <w:t>)</w:t>
      </w:r>
      <w:r w:rsidRPr="00CF742B">
        <w:rPr>
          <w:rFonts w:hint="cs"/>
          <w:rtl/>
        </w:rPr>
        <w:t>، كما في تبيين الحقائق قوله: "</w:t>
      </w:r>
      <w:r w:rsidRPr="00CF742B">
        <w:rPr>
          <w:rtl/>
        </w:rPr>
        <w:t>ثم قد</w:t>
      </w:r>
      <w:r w:rsidRPr="00CF742B">
        <w:rPr>
          <w:rFonts w:hint="cs"/>
          <w:rtl/>
        </w:rPr>
        <w:t>ّ</w:t>
      </w:r>
      <w:r w:rsidRPr="00CF742B">
        <w:rPr>
          <w:rtl/>
        </w:rPr>
        <w:t>ر الغبن اليسير هنا بما يدخل تحت ‌تقويم ‌المقومين</w:t>
      </w:r>
      <w:r w:rsidRPr="00CF742B">
        <w:rPr>
          <w:rFonts w:hint="cs"/>
          <w:rtl/>
        </w:rPr>
        <w:t>،</w:t>
      </w:r>
      <w:r w:rsidRPr="00CF742B">
        <w:rPr>
          <w:rtl/>
        </w:rPr>
        <w:t xml:space="preserve"> وما لا يدخل تحت ‌تقويم ‌المقومين فاحش</w:t>
      </w:r>
      <w:r w:rsidRPr="00CF742B">
        <w:rPr>
          <w:rFonts w:hint="cs"/>
          <w:rtl/>
        </w:rPr>
        <w:t>"</w:t>
      </w:r>
      <w:r w:rsidRPr="00CF742B">
        <w:rPr>
          <w:rStyle w:val="aa"/>
          <w:rtl/>
        </w:rPr>
        <w:t>(</w:t>
      </w:r>
      <w:r w:rsidRPr="00CF742B">
        <w:rPr>
          <w:rStyle w:val="aa"/>
          <w:rtl/>
        </w:rPr>
        <w:footnoteReference w:id="84"/>
      </w:r>
      <w:r w:rsidRPr="00CF742B">
        <w:rPr>
          <w:rStyle w:val="aa"/>
          <w:rtl/>
        </w:rPr>
        <w:t>)</w:t>
      </w:r>
      <w:r w:rsidRPr="00CF742B">
        <w:rPr>
          <w:rFonts w:hint="cs"/>
          <w:rtl/>
        </w:rPr>
        <w:t>، فتقدير المقوّمين إنما هو ناشئ عن عرف الناس في تقديرهم للسلعة وتبايعهم بها بتلك القيمة.</w:t>
      </w:r>
    </w:p>
    <w:p w14:paraId="62125FBC" w14:textId="7B02450D" w:rsidR="00C742E9" w:rsidRPr="00CF742B" w:rsidRDefault="00C742E9" w:rsidP="00C742E9">
      <w:pPr>
        <w:spacing w:after="120"/>
        <w:ind w:firstLine="567"/>
        <w:rPr>
          <w:rtl/>
        </w:rPr>
      </w:pPr>
      <w:r w:rsidRPr="00CF742B">
        <w:rPr>
          <w:rFonts w:hint="cs"/>
          <w:rtl/>
        </w:rPr>
        <w:t xml:space="preserve">ومما يلحق بهذا الباب؛ ما قدّروه </w:t>
      </w:r>
      <w:r w:rsidRPr="00CF742B">
        <w:rPr>
          <w:b/>
          <w:bCs/>
          <w:rtl/>
        </w:rPr>
        <w:t>بزمن لا يمكن فيه حصول الضد</w:t>
      </w:r>
      <w:r w:rsidRPr="00CF742B">
        <w:rPr>
          <w:rFonts w:hint="cs"/>
          <w:rtl/>
        </w:rPr>
        <w:t>، كما جاء في ذكر مسألة نية المتيمم: "</w:t>
      </w:r>
      <w:r w:rsidRPr="00CF742B">
        <w:rPr>
          <w:rtl/>
        </w:rPr>
        <w:t>وكلامهم جرى على الغالب</w:t>
      </w:r>
      <w:r w:rsidRPr="00CF742B">
        <w:rPr>
          <w:rFonts w:hint="cs"/>
          <w:rtl/>
        </w:rPr>
        <w:t>؛</w:t>
      </w:r>
      <w:r w:rsidRPr="00CF742B">
        <w:rPr>
          <w:rtl/>
        </w:rPr>
        <w:t xml:space="preserve"> لأن هذا ‌زمن ‌يسير قل</w:t>
      </w:r>
      <w:r w:rsidRPr="00CF742B">
        <w:rPr>
          <w:rFonts w:hint="cs"/>
          <w:rtl/>
        </w:rPr>
        <w:t>ّ</w:t>
      </w:r>
      <w:r w:rsidRPr="00CF742B">
        <w:rPr>
          <w:rtl/>
        </w:rPr>
        <w:t xml:space="preserve"> أن تعزب فيه النية</w:t>
      </w:r>
      <w:r w:rsidRPr="00CF742B">
        <w:rPr>
          <w:rFonts w:hint="cs"/>
          <w:rtl/>
        </w:rPr>
        <w:t>"</w:t>
      </w:r>
      <w:r w:rsidRPr="00CF742B">
        <w:rPr>
          <w:rStyle w:val="aa"/>
          <w:rtl/>
        </w:rPr>
        <w:t>(</w:t>
      </w:r>
      <w:r w:rsidRPr="00CF742B">
        <w:rPr>
          <w:rStyle w:val="aa"/>
          <w:rtl/>
        </w:rPr>
        <w:footnoteReference w:id="85"/>
      </w:r>
      <w:r w:rsidRPr="00CF742B">
        <w:rPr>
          <w:rStyle w:val="aa"/>
          <w:rtl/>
        </w:rPr>
        <w:t>)</w:t>
      </w:r>
      <w:r w:rsidRPr="00CF742B">
        <w:rPr>
          <w:rFonts w:hint="cs"/>
          <w:rtl/>
        </w:rPr>
        <w:t>، وكذلك ما جاء عند الحنابلة في مسألة رؤية الثمن والمثمن في عقد السلم: "</w:t>
      </w:r>
      <w:r w:rsidRPr="00CF742B">
        <w:rPr>
          <w:rtl/>
        </w:rPr>
        <w:t>يشترط حال العقد أو قبله بـزمن يسير</w:t>
      </w:r>
      <w:r w:rsidRPr="00CF742B">
        <w:rPr>
          <w:rFonts w:hint="cs"/>
          <w:rtl/>
        </w:rPr>
        <w:t>،</w:t>
      </w:r>
      <w:r w:rsidRPr="00CF742B">
        <w:rPr>
          <w:rtl/>
        </w:rPr>
        <w:t xml:space="preserve"> أي: بزمن لا يتغير فيه المبيع تغير</w:t>
      </w:r>
      <w:r w:rsidR="005F7C17">
        <w:rPr>
          <w:rtl/>
        </w:rPr>
        <w:t>ًا</w:t>
      </w:r>
      <w:r w:rsidRPr="00CF742B">
        <w:rPr>
          <w:rtl/>
        </w:rPr>
        <w:t xml:space="preserve"> ظاهر</w:t>
      </w:r>
      <w:r w:rsidR="005F7C17">
        <w:rPr>
          <w:rtl/>
        </w:rPr>
        <w:t>ًا</w:t>
      </w:r>
      <w:r w:rsidRPr="00CF742B">
        <w:rPr>
          <w:rStyle w:val="aa"/>
          <w:rFonts w:hint="cs"/>
          <w:rtl/>
        </w:rPr>
        <w:t>"</w:t>
      </w:r>
      <w:r w:rsidRPr="00CF742B">
        <w:rPr>
          <w:rStyle w:val="aa"/>
          <w:rtl/>
        </w:rPr>
        <w:t>(</w:t>
      </w:r>
      <w:r w:rsidRPr="00CF742B">
        <w:rPr>
          <w:rStyle w:val="aa"/>
          <w:rtl/>
        </w:rPr>
        <w:footnoteReference w:id="86"/>
      </w:r>
      <w:r w:rsidRPr="00CF742B">
        <w:rPr>
          <w:rStyle w:val="aa"/>
          <w:rtl/>
        </w:rPr>
        <w:t>)</w:t>
      </w:r>
      <w:r w:rsidRPr="00CF742B">
        <w:rPr>
          <w:rFonts w:hint="cs"/>
          <w:rtl/>
        </w:rPr>
        <w:t>، ومعلومٌ أن تقدير مثل هذا الزمن ليس توقيفي</w:t>
      </w:r>
      <w:r w:rsidR="005F7C17">
        <w:rPr>
          <w:rFonts w:hint="cs"/>
          <w:rtl/>
        </w:rPr>
        <w:t>ًا</w:t>
      </w:r>
      <w:r w:rsidRPr="00CF742B">
        <w:rPr>
          <w:rFonts w:hint="cs"/>
          <w:rtl/>
        </w:rPr>
        <w:t xml:space="preserve"> ولم يرد فيه نص، بل هو راجع إلى عرف الناس.</w:t>
      </w:r>
    </w:p>
    <w:p w14:paraId="75EFA9CD" w14:textId="6B31846F" w:rsidR="00C742E9" w:rsidRPr="00CF742B" w:rsidRDefault="00C742E9" w:rsidP="00C742E9">
      <w:pPr>
        <w:spacing w:after="120"/>
        <w:ind w:firstLine="567"/>
        <w:rPr>
          <w:rtl/>
        </w:rPr>
      </w:pPr>
      <w:r w:rsidRPr="00CF742B">
        <w:rPr>
          <w:rFonts w:hint="cs"/>
          <w:rtl/>
        </w:rPr>
        <w:t>وكذلك يتبع باب العرف من المسائل التي جعل الفقهاء لها حد</w:t>
      </w:r>
      <w:r w:rsidR="005F7C17">
        <w:rPr>
          <w:rFonts w:hint="cs"/>
          <w:rtl/>
        </w:rPr>
        <w:t>ًا</w:t>
      </w:r>
      <w:r w:rsidRPr="00CF742B">
        <w:rPr>
          <w:rFonts w:hint="cs"/>
          <w:rtl/>
        </w:rPr>
        <w:t xml:space="preserve"> بين يسيرها وكثيرها؛ ما كان متعلق</w:t>
      </w:r>
      <w:r w:rsidR="005F7C17">
        <w:rPr>
          <w:rFonts w:hint="cs"/>
          <w:rtl/>
        </w:rPr>
        <w:t>ًا</w:t>
      </w:r>
      <w:r w:rsidRPr="00CF742B">
        <w:rPr>
          <w:rFonts w:hint="cs"/>
          <w:rtl/>
        </w:rPr>
        <w:t xml:space="preserve"> </w:t>
      </w:r>
      <w:r w:rsidRPr="00CF742B">
        <w:rPr>
          <w:rFonts w:hint="cs"/>
          <w:b/>
          <w:bCs/>
          <w:rtl/>
        </w:rPr>
        <w:t>بتقدير الناظر</w:t>
      </w:r>
      <w:r w:rsidRPr="00CF742B">
        <w:rPr>
          <w:rFonts w:hint="cs"/>
          <w:rtl/>
        </w:rPr>
        <w:t>، كما في مسألة الحد الفاصل بين الحركة الكثيرة واليسيرة في الصلاة عند الحنفية، جاء في المبسوط: "</w:t>
      </w:r>
      <w:r w:rsidRPr="00CF742B">
        <w:rPr>
          <w:rtl/>
        </w:rPr>
        <w:t>إن كل عمل إذا نظر إليه الناظر من بعيد لا يشك أنه في غير الصلاة</w:t>
      </w:r>
      <w:r w:rsidRPr="00CF742B">
        <w:rPr>
          <w:rFonts w:hint="cs"/>
          <w:rtl/>
        </w:rPr>
        <w:t>؛</w:t>
      </w:r>
      <w:r w:rsidRPr="00CF742B">
        <w:rPr>
          <w:rtl/>
        </w:rPr>
        <w:t xml:space="preserve"> فهو مفسد لصلاته، وكل عمل لو نظر إليه الناظر فربما يشتبه عليه أنه في </w:t>
      </w:r>
      <w:r w:rsidRPr="00CF742B">
        <w:rPr>
          <w:rtl/>
        </w:rPr>
        <w:lastRenderedPageBreak/>
        <w:t>الصلاة</w:t>
      </w:r>
      <w:r w:rsidRPr="00CF742B">
        <w:rPr>
          <w:rFonts w:hint="cs"/>
          <w:rtl/>
        </w:rPr>
        <w:t>؛</w:t>
      </w:r>
      <w:r w:rsidRPr="00CF742B">
        <w:rPr>
          <w:rtl/>
        </w:rPr>
        <w:t xml:space="preserve"> فذلك غير مفسد</w:t>
      </w:r>
      <w:r w:rsidRPr="00CF742B">
        <w:rPr>
          <w:rFonts w:hint="cs"/>
          <w:rtl/>
        </w:rPr>
        <w:t>"</w:t>
      </w:r>
      <w:r w:rsidRPr="00CF742B">
        <w:rPr>
          <w:rStyle w:val="aa"/>
          <w:rtl/>
        </w:rPr>
        <w:t>(</w:t>
      </w:r>
      <w:r w:rsidRPr="00CF742B">
        <w:rPr>
          <w:rStyle w:val="aa"/>
          <w:rtl/>
        </w:rPr>
        <w:footnoteReference w:id="87"/>
      </w:r>
      <w:r w:rsidRPr="00CF742B">
        <w:rPr>
          <w:rStyle w:val="aa"/>
          <w:rFonts w:hint="cs"/>
          <w:rtl/>
        </w:rPr>
        <w:t>)</w:t>
      </w:r>
      <w:r w:rsidRPr="00CF742B">
        <w:rPr>
          <w:rFonts w:hint="cs"/>
          <w:rtl/>
        </w:rPr>
        <w:t>، وجاء عن بعض الشافعية قولهم: "</w:t>
      </w:r>
      <w:r w:rsidRPr="00CF742B">
        <w:rPr>
          <w:rtl/>
        </w:rPr>
        <w:t>أن الكثير ما يلمع للناظر على بعد</w:t>
      </w:r>
      <w:r w:rsidRPr="00CF742B">
        <w:rPr>
          <w:rFonts w:hint="cs"/>
          <w:rtl/>
        </w:rPr>
        <w:t>،</w:t>
      </w:r>
      <w:r w:rsidRPr="00CF742B">
        <w:rPr>
          <w:rtl/>
        </w:rPr>
        <w:t xml:space="preserve"> والقليل ما لا يلمع</w:t>
      </w:r>
      <w:r w:rsidRPr="00CF742B">
        <w:rPr>
          <w:rFonts w:hint="cs"/>
          <w:rtl/>
        </w:rPr>
        <w:t>" ثم قال النووي مبين</w:t>
      </w:r>
      <w:r w:rsidR="005F7C17">
        <w:rPr>
          <w:rFonts w:hint="cs"/>
          <w:rtl/>
        </w:rPr>
        <w:t>ًا</w:t>
      </w:r>
      <w:r w:rsidRPr="00CF742B">
        <w:rPr>
          <w:rFonts w:hint="cs"/>
          <w:rtl/>
        </w:rPr>
        <w:t xml:space="preserve"> هذا القول: "</w:t>
      </w:r>
      <w:r w:rsidRPr="00CF742B">
        <w:rPr>
          <w:rtl/>
        </w:rPr>
        <w:t>ومرادهم ما لا يخرج عن الاعتدال والعادة</w:t>
      </w:r>
      <w:r w:rsidRPr="00CF742B">
        <w:rPr>
          <w:rFonts w:hint="cs"/>
          <w:rtl/>
        </w:rPr>
        <w:t>"</w:t>
      </w:r>
      <w:r w:rsidRPr="00CF742B">
        <w:rPr>
          <w:rStyle w:val="aa"/>
          <w:rtl/>
        </w:rPr>
        <w:t>(</w:t>
      </w:r>
      <w:r w:rsidRPr="00CF742B">
        <w:rPr>
          <w:rStyle w:val="aa"/>
          <w:rtl/>
        </w:rPr>
        <w:footnoteReference w:id="88"/>
      </w:r>
      <w:r w:rsidRPr="00CF742B">
        <w:rPr>
          <w:rStyle w:val="aa"/>
          <w:rtl/>
        </w:rPr>
        <w:t>)</w:t>
      </w:r>
      <w:r w:rsidRPr="00CF742B">
        <w:rPr>
          <w:rFonts w:hint="cs"/>
          <w:rtl/>
        </w:rPr>
        <w:t xml:space="preserve"> فجعل مردّ نظر الناظر إلى العادة.</w:t>
      </w:r>
    </w:p>
    <w:p w14:paraId="06521D01" w14:textId="77777777" w:rsidR="00C742E9" w:rsidRPr="00CF742B" w:rsidRDefault="00C742E9" w:rsidP="00C742E9">
      <w:pPr>
        <w:spacing w:after="120"/>
        <w:ind w:firstLine="567"/>
        <w:rPr>
          <w:rtl/>
        </w:rPr>
      </w:pPr>
      <w:r w:rsidRPr="00CF742B">
        <w:rPr>
          <w:rFonts w:hint="cs"/>
          <w:rtl/>
        </w:rPr>
        <w:t xml:space="preserve">كما أن هناك مسائل جاء تقدير اليسير فيها </w:t>
      </w:r>
      <w:r w:rsidRPr="00CF742B">
        <w:rPr>
          <w:rFonts w:hint="cs"/>
          <w:b/>
          <w:bCs/>
          <w:rtl/>
        </w:rPr>
        <w:t>بضابط خاص</w:t>
      </w:r>
      <w:r w:rsidRPr="00CF742B">
        <w:rPr>
          <w:rFonts w:hint="cs"/>
          <w:rtl/>
        </w:rPr>
        <w:t xml:space="preserve"> بها، ولا يقاس اليسير فيها على غيرها من المسائل، ومن هذه المسائل:</w:t>
      </w:r>
    </w:p>
    <w:p w14:paraId="172F68D6" w14:textId="748D95F8" w:rsidR="00C742E9" w:rsidRPr="00CF742B" w:rsidRDefault="00C742E9" w:rsidP="00C742E9">
      <w:pPr>
        <w:spacing w:after="120"/>
        <w:ind w:firstLine="567"/>
        <w:rPr>
          <w:rtl/>
        </w:rPr>
      </w:pPr>
      <w:r w:rsidRPr="00CF742B">
        <w:rPr>
          <w:rFonts w:hint="cs"/>
          <w:rtl/>
        </w:rPr>
        <w:t>جعل جفاف العضو المغسول حد</w:t>
      </w:r>
      <w:r w:rsidR="005F7C17">
        <w:rPr>
          <w:rFonts w:hint="cs"/>
          <w:rtl/>
        </w:rPr>
        <w:t>ًا</w:t>
      </w:r>
      <w:r w:rsidRPr="00CF742B">
        <w:rPr>
          <w:rFonts w:hint="cs"/>
          <w:rtl/>
        </w:rPr>
        <w:t xml:space="preserve"> فاصل</w:t>
      </w:r>
      <w:r w:rsidR="005F7C17">
        <w:rPr>
          <w:rFonts w:hint="cs"/>
          <w:rtl/>
        </w:rPr>
        <w:t>ًا</w:t>
      </w:r>
      <w:r w:rsidRPr="00CF742B">
        <w:rPr>
          <w:rFonts w:hint="cs"/>
          <w:rtl/>
        </w:rPr>
        <w:t xml:space="preserve"> بين الموالاة اليسيرة والكثيرة في الوضوء، جاء في بدائع الصنائع قول </w:t>
      </w:r>
      <w:r w:rsidRPr="00CF742B">
        <w:rPr>
          <w:rtl/>
        </w:rPr>
        <w:t>الكاساني</w:t>
      </w:r>
      <w:r w:rsidRPr="00CF742B">
        <w:rPr>
          <w:rFonts w:hint="cs"/>
          <w:rtl/>
        </w:rPr>
        <w:t xml:space="preserve"> رحمه الله</w:t>
      </w:r>
      <w:r w:rsidRPr="00CF742B">
        <w:rPr>
          <w:rtl/>
        </w:rPr>
        <w:t>: "قيل في تفسير الموالاة: ألا يمكث في أثناء الوضوء</w:t>
      </w:r>
      <w:r w:rsidRPr="00CF742B">
        <w:rPr>
          <w:rFonts w:hint="cs"/>
          <w:rtl/>
        </w:rPr>
        <w:t xml:space="preserve"> </w:t>
      </w:r>
      <w:r w:rsidRPr="00CF742B">
        <w:rPr>
          <w:rtl/>
        </w:rPr>
        <w:t>مقدار ما يجف فيه العضو المغسول، فإن مكث تنقطع الموالاة"</w:t>
      </w:r>
      <w:r w:rsidRPr="00CF742B">
        <w:rPr>
          <w:rStyle w:val="aa"/>
          <w:rtl/>
        </w:rPr>
        <w:t>(</w:t>
      </w:r>
      <w:r w:rsidRPr="00CF742B">
        <w:rPr>
          <w:rStyle w:val="aa"/>
          <w:rtl/>
        </w:rPr>
        <w:footnoteReference w:id="89"/>
      </w:r>
      <w:r w:rsidRPr="00CF742B">
        <w:rPr>
          <w:rStyle w:val="aa"/>
          <w:rtl/>
        </w:rPr>
        <w:t>)</w:t>
      </w:r>
      <w:r w:rsidRPr="00CF742B">
        <w:rPr>
          <w:rFonts w:hint="cs"/>
          <w:rtl/>
        </w:rPr>
        <w:t>، وهذا التقدير لم يُنص عليه في الشرع، وإنما تقدير رآه من قال به من الفقهاء، مبناه على ما لاح لهم من العرف، فجعلوا هذا الحد في محاولة لتقريبه بضابط محسوس يكون أكثر دقة، وقد فعلوا مثل هذا في كثير من المسائل كما سيأتي.</w:t>
      </w:r>
    </w:p>
    <w:p w14:paraId="10D5996F" w14:textId="0BB1998C" w:rsidR="00C742E9" w:rsidRPr="00CF742B" w:rsidRDefault="00C742E9" w:rsidP="00C742E9">
      <w:pPr>
        <w:spacing w:after="120"/>
        <w:ind w:firstLine="567"/>
        <w:rPr>
          <w:rtl/>
        </w:rPr>
      </w:pPr>
      <w:r w:rsidRPr="00CF742B">
        <w:rPr>
          <w:rFonts w:hint="cs"/>
          <w:rtl/>
        </w:rPr>
        <w:t>فمن ذلك ما وضعه الشافعية حد</w:t>
      </w:r>
      <w:r w:rsidR="005F7C17">
        <w:rPr>
          <w:rFonts w:hint="cs"/>
          <w:rtl/>
        </w:rPr>
        <w:t>ًا</w:t>
      </w:r>
      <w:r w:rsidRPr="00CF742B">
        <w:rPr>
          <w:rFonts w:hint="cs"/>
          <w:rtl/>
        </w:rPr>
        <w:t xml:space="preserve"> بين العرج اليسير والكثير في الأضحية، جاء في الحاوي الكبير: "</w:t>
      </w:r>
      <w:r w:rsidRPr="00CF742B">
        <w:rPr>
          <w:rtl/>
        </w:rPr>
        <w:t>وإذا لم تجزئ العرجاء فالقطعاء أولى</w:t>
      </w:r>
      <w:r w:rsidRPr="00CF742B">
        <w:rPr>
          <w:rFonts w:hint="cs"/>
          <w:rtl/>
        </w:rPr>
        <w:t>،</w:t>
      </w:r>
      <w:r w:rsidRPr="00CF742B">
        <w:rPr>
          <w:rtl/>
        </w:rPr>
        <w:t xml:space="preserve"> فإن كان عرجها ‌يسير</w:t>
      </w:r>
      <w:r w:rsidR="005F7C17">
        <w:rPr>
          <w:rtl/>
        </w:rPr>
        <w:t>ًا</w:t>
      </w:r>
      <w:r w:rsidRPr="00CF742B">
        <w:rPr>
          <w:rtl/>
        </w:rPr>
        <w:t xml:space="preserve"> نظر فيه، فإن قصرت به عن لحوق الصحاح في المشي والسعي كان عرج</w:t>
      </w:r>
      <w:r w:rsidR="005F7C17">
        <w:rPr>
          <w:rtl/>
        </w:rPr>
        <w:t>ًا</w:t>
      </w:r>
      <w:r w:rsidRPr="00CF742B">
        <w:rPr>
          <w:rtl/>
        </w:rPr>
        <w:t xml:space="preserve"> بي</w:t>
      </w:r>
      <w:r w:rsidRPr="00CF742B">
        <w:rPr>
          <w:rFonts w:hint="cs"/>
          <w:rtl/>
        </w:rPr>
        <w:t>ّ</w:t>
      </w:r>
      <w:r w:rsidRPr="00CF742B">
        <w:rPr>
          <w:rtl/>
        </w:rPr>
        <w:t>ن</w:t>
      </w:r>
      <w:r w:rsidR="005F7C17">
        <w:rPr>
          <w:rtl/>
        </w:rPr>
        <w:t>ًا</w:t>
      </w:r>
      <w:r w:rsidRPr="00CF742B">
        <w:rPr>
          <w:rtl/>
        </w:rPr>
        <w:t xml:space="preserve"> لا يجزئ</w:t>
      </w:r>
      <w:r w:rsidRPr="00CF742B">
        <w:rPr>
          <w:rFonts w:hint="cs"/>
          <w:rtl/>
        </w:rPr>
        <w:t>"</w:t>
      </w:r>
      <w:r w:rsidRPr="00CF742B">
        <w:rPr>
          <w:rStyle w:val="aa"/>
          <w:rtl/>
        </w:rPr>
        <w:t>(</w:t>
      </w:r>
      <w:r w:rsidRPr="00CF742B">
        <w:rPr>
          <w:rStyle w:val="aa"/>
          <w:rtl/>
        </w:rPr>
        <w:footnoteReference w:id="90"/>
      </w:r>
      <w:r w:rsidRPr="00CF742B">
        <w:rPr>
          <w:rStyle w:val="aa"/>
          <w:rtl/>
        </w:rPr>
        <w:t>)</w:t>
      </w:r>
      <w:r w:rsidRPr="00CF742B">
        <w:rPr>
          <w:rFonts w:hint="cs"/>
          <w:rtl/>
        </w:rPr>
        <w:t>، فكان الحد الفاصل ما إذا كانت تقصر عن اللحاق بالصحاح، وتقدير القصور من عدمه يرجع إلى نظر الناظر المبني على ما تعارف عليه الناس عادة.</w:t>
      </w:r>
    </w:p>
    <w:p w14:paraId="6D6BF9EF" w14:textId="7C2D3D32" w:rsidR="00C742E9" w:rsidRPr="00CF742B" w:rsidRDefault="00C742E9" w:rsidP="00C742E9">
      <w:pPr>
        <w:spacing w:after="120"/>
        <w:ind w:firstLine="567"/>
        <w:rPr>
          <w:rtl/>
        </w:rPr>
      </w:pPr>
      <w:r w:rsidRPr="00CF742B">
        <w:rPr>
          <w:rFonts w:hint="cs"/>
          <w:rtl/>
        </w:rPr>
        <w:t>ومثل ذلك ما ذهب إليه الحنابلة في النجاسة التي ليست بول</w:t>
      </w:r>
      <w:r w:rsidR="005F7C17">
        <w:rPr>
          <w:rFonts w:hint="cs"/>
          <w:rtl/>
        </w:rPr>
        <w:t>ًا</w:t>
      </w:r>
      <w:r w:rsidRPr="00CF742B">
        <w:rPr>
          <w:rFonts w:hint="cs"/>
          <w:rtl/>
        </w:rPr>
        <w:t xml:space="preserve"> ولا غائط</w:t>
      </w:r>
      <w:r w:rsidR="005F7C17">
        <w:rPr>
          <w:rFonts w:hint="cs"/>
          <w:rtl/>
        </w:rPr>
        <w:t>ًا</w:t>
      </w:r>
      <w:r w:rsidRPr="00CF742B">
        <w:rPr>
          <w:rFonts w:hint="cs"/>
          <w:rtl/>
        </w:rPr>
        <w:t xml:space="preserve"> كالدم والقيء والقيح، إن كانت يسيرة أو فاحشة بجعل تقديرها إلى نفس كل أحد بحسبه، فالفاحش منها ما كان فاحش</w:t>
      </w:r>
      <w:r w:rsidR="005F7C17">
        <w:rPr>
          <w:rFonts w:hint="cs"/>
          <w:rtl/>
        </w:rPr>
        <w:t>ًا</w:t>
      </w:r>
      <w:r w:rsidRPr="00CF742B">
        <w:rPr>
          <w:rFonts w:hint="cs"/>
          <w:rtl/>
        </w:rPr>
        <w:t xml:space="preserve"> في نفسه، واليسير ما تحاقرته نفسه، قال ابن قدامة: "</w:t>
      </w:r>
      <w:r w:rsidRPr="00CF742B">
        <w:rPr>
          <w:rtl/>
        </w:rPr>
        <w:t xml:space="preserve">وظاهر مذهب أحمد أن </w:t>
      </w:r>
      <w:r w:rsidRPr="00CF742B">
        <w:rPr>
          <w:rtl/>
        </w:rPr>
        <w:lastRenderedPageBreak/>
        <w:t>الكثير الذي ينقض الوضوء لا حد له أكثر من أنه يكون فاحش</w:t>
      </w:r>
      <w:r w:rsidR="005F7C17">
        <w:rPr>
          <w:rtl/>
        </w:rPr>
        <w:t>ًا</w:t>
      </w:r>
      <w:r w:rsidRPr="00CF742B">
        <w:rPr>
          <w:rFonts w:hint="cs"/>
          <w:rtl/>
        </w:rPr>
        <w:t xml:space="preserve">، </w:t>
      </w:r>
      <w:r w:rsidRPr="00CF742B">
        <w:rPr>
          <w:rtl/>
        </w:rPr>
        <w:t>وقيل: يا أبا عبد الله، ما قدر الفاحش؟ قال: ما ‌فحش في ‌قلبك</w:t>
      </w:r>
      <w:r w:rsidRPr="00CF742B">
        <w:rPr>
          <w:rFonts w:hint="cs"/>
          <w:rtl/>
        </w:rPr>
        <w:t>.</w:t>
      </w:r>
      <w:r w:rsidRPr="00CF742B">
        <w:rPr>
          <w:rtl/>
        </w:rPr>
        <w:t xml:space="preserve"> وقيل له: مثل أي شيء يكون الفاحش؟ قال: قال ابن عباس: ما ‌فحش في ‌قلبك</w:t>
      </w:r>
      <w:r w:rsidRPr="00CF742B">
        <w:rPr>
          <w:rFonts w:hint="cs"/>
          <w:rtl/>
        </w:rPr>
        <w:t>"</w:t>
      </w:r>
      <w:r w:rsidRPr="00CF742B">
        <w:rPr>
          <w:rStyle w:val="aa"/>
          <w:rtl/>
        </w:rPr>
        <w:t>(</w:t>
      </w:r>
      <w:r w:rsidRPr="00CF742B">
        <w:rPr>
          <w:rStyle w:val="aa"/>
          <w:rtl/>
        </w:rPr>
        <w:footnoteReference w:id="91"/>
      </w:r>
      <w:r w:rsidRPr="00CF742B">
        <w:rPr>
          <w:rStyle w:val="aa"/>
          <w:rtl/>
        </w:rPr>
        <w:t>)</w:t>
      </w:r>
      <w:r w:rsidRPr="00CF742B">
        <w:rPr>
          <w:rFonts w:hint="cs"/>
          <w:rtl/>
        </w:rPr>
        <w:t>، فترك التقدير لما يقع في النفس لا أراه إلا تقدير</w:t>
      </w:r>
      <w:r w:rsidR="005F7C17">
        <w:rPr>
          <w:rFonts w:hint="cs"/>
          <w:rtl/>
        </w:rPr>
        <w:t>ًا</w:t>
      </w:r>
      <w:r w:rsidRPr="00CF742B">
        <w:rPr>
          <w:rFonts w:hint="cs"/>
          <w:rtl/>
        </w:rPr>
        <w:t xml:space="preserve"> بالعرف، فالنفس السوية لا تعدُّ الفاحش فاحش</w:t>
      </w:r>
      <w:r w:rsidR="005F7C17">
        <w:rPr>
          <w:rFonts w:hint="cs"/>
          <w:rtl/>
        </w:rPr>
        <w:t>ًا</w:t>
      </w:r>
      <w:r w:rsidRPr="00CF742B">
        <w:rPr>
          <w:rFonts w:hint="cs"/>
          <w:rtl/>
        </w:rPr>
        <w:t xml:space="preserve"> إلا بما ظهر لها من حال الناس وما اعتادوا عليه.</w:t>
      </w:r>
    </w:p>
    <w:p w14:paraId="62603205" w14:textId="6BBA9C69" w:rsidR="00C742E9" w:rsidRPr="00CF742B" w:rsidRDefault="00C742E9" w:rsidP="00C742E9">
      <w:pPr>
        <w:spacing w:after="120"/>
        <w:ind w:firstLine="567"/>
        <w:rPr>
          <w:rtl/>
        </w:rPr>
      </w:pPr>
      <w:r w:rsidRPr="00CF742B">
        <w:rPr>
          <w:rFonts w:hint="cs"/>
          <w:rtl/>
        </w:rPr>
        <w:t>ومثل هذا تقدير الحنفية للنجاسة الكثيرة بما كانت كالدرهم، أو بما كانت شبر</w:t>
      </w:r>
      <w:r w:rsidR="005F7C17">
        <w:rPr>
          <w:rFonts w:hint="cs"/>
          <w:rtl/>
        </w:rPr>
        <w:t>ًا</w:t>
      </w:r>
      <w:r w:rsidRPr="00CF742B">
        <w:rPr>
          <w:rFonts w:hint="cs"/>
          <w:rtl/>
        </w:rPr>
        <w:t xml:space="preserve"> بشبر، أو ما كانت ذراع</w:t>
      </w:r>
      <w:r w:rsidR="005F7C17">
        <w:rPr>
          <w:rFonts w:hint="cs"/>
          <w:rtl/>
        </w:rPr>
        <w:t>ًا</w:t>
      </w:r>
      <w:r w:rsidRPr="00CF742B">
        <w:rPr>
          <w:rFonts w:hint="cs"/>
          <w:rtl/>
        </w:rPr>
        <w:t xml:space="preserve"> في ذراع، أو بما كانت فوق النصف، ودونها اليسير، ونحو هذه التقديرات المروية عنهم</w:t>
      </w:r>
      <w:r w:rsidRPr="00CF742B">
        <w:rPr>
          <w:rStyle w:val="aa"/>
          <w:rtl/>
        </w:rPr>
        <w:t>(</w:t>
      </w:r>
      <w:r w:rsidRPr="00CF742B">
        <w:rPr>
          <w:rStyle w:val="aa"/>
          <w:rtl/>
        </w:rPr>
        <w:footnoteReference w:id="92"/>
      </w:r>
      <w:r w:rsidRPr="00CF742B">
        <w:rPr>
          <w:rStyle w:val="aa"/>
          <w:rtl/>
        </w:rPr>
        <w:t>)</w:t>
      </w:r>
      <w:r w:rsidRPr="00CF742B">
        <w:rPr>
          <w:rFonts w:hint="cs"/>
          <w:rtl/>
        </w:rPr>
        <w:t>، فكلها اجتهادات لا تستند لدليل صحيح صريح</w:t>
      </w:r>
      <w:r w:rsidRPr="00CF742B">
        <w:rPr>
          <w:rStyle w:val="aa"/>
          <w:rtl/>
        </w:rPr>
        <w:t>(</w:t>
      </w:r>
      <w:r w:rsidRPr="00CF742B">
        <w:rPr>
          <w:rStyle w:val="aa"/>
          <w:rtl/>
        </w:rPr>
        <w:footnoteReference w:id="93"/>
      </w:r>
      <w:r w:rsidRPr="00CF742B">
        <w:rPr>
          <w:rStyle w:val="aa"/>
          <w:rtl/>
        </w:rPr>
        <w:t>)</w:t>
      </w:r>
      <w:r w:rsidRPr="00CF742B">
        <w:rPr>
          <w:rFonts w:hint="cs"/>
          <w:rtl/>
        </w:rPr>
        <w:t>، بل هي تقديرات وزنوها بما بدا لهم من عرف الناس، أو بما استفحشته نفوسهم أو تقالّته، وكما ذكرت سلف</w:t>
      </w:r>
      <w:r w:rsidR="005F7C17">
        <w:rPr>
          <w:rFonts w:hint="cs"/>
          <w:rtl/>
        </w:rPr>
        <w:t>ًا</w:t>
      </w:r>
      <w:r w:rsidRPr="00CF742B">
        <w:rPr>
          <w:rFonts w:hint="cs"/>
          <w:rtl/>
        </w:rPr>
        <w:t xml:space="preserve"> أن النفس في وزنها لمقادير الأشياء لن تضبط معيارها إلا بالنظر في حال الناس وما تعارفوا عليه.</w:t>
      </w:r>
    </w:p>
    <w:p w14:paraId="1F6BCEBF" w14:textId="77777777" w:rsidR="00C742E9" w:rsidRPr="00CF742B" w:rsidRDefault="00C742E9" w:rsidP="00C742E9">
      <w:pPr>
        <w:spacing w:after="120"/>
        <w:ind w:firstLine="567"/>
        <w:rPr>
          <w:rtl/>
        </w:rPr>
      </w:pPr>
      <w:r w:rsidRPr="00CF742B">
        <w:rPr>
          <w:rFonts w:hint="cs"/>
          <w:rtl/>
        </w:rPr>
        <w:t>والأمثلة حول هذا كثيرة، وغالبها يمكن أن يخرَّج على هذا الباب.</w:t>
      </w:r>
    </w:p>
    <w:p w14:paraId="05E74291" w14:textId="660AF894" w:rsidR="000B7965" w:rsidRDefault="00C742E9" w:rsidP="00C742E9">
      <w:pPr>
        <w:spacing w:after="120"/>
        <w:ind w:firstLine="567"/>
        <w:rPr>
          <w:rtl/>
        </w:rPr>
      </w:pPr>
      <w:r w:rsidRPr="00CF742B">
        <w:rPr>
          <w:rFonts w:hint="cs"/>
          <w:b/>
          <w:bCs/>
          <w:u w:val="single"/>
          <w:rtl/>
        </w:rPr>
        <w:t>الحال الثانية:</w:t>
      </w:r>
      <w:r w:rsidRPr="00CF742B">
        <w:rPr>
          <w:rFonts w:hint="cs"/>
          <w:rtl/>
        </w:rPr>
        <w:t xml:space="preserve"> </w:t>
      </w:r>
      <w:bookmarkStart w:id="0" w:name="_Hlk172745201"/>
      <w:r w:rsidRPr="00CF742B">
        <w:rPr>
          <w:rFonts w:hint="cs"/>
          <w:rtl/>
        </w:rPr>
        <w:t>التصريح بالعرف، في المسائل التي أحال الفقهاء ضبط قدر اليسير والكثير فيها إلى العرف الجاري صراحة، دون تحديد قدره بمعايير معينة</w:t>
      </w:r>
      <w:bookmarkEnd w:id="0"/>
      <w:r w:rsidRPr="00CF742B">
        <w:rPr>
          <w:rFonts w:hint="cs"/>
          <w:rtl/>
        </w:rPr>
        <w:t>، في المسائل التي ما لم يأتِ الشرع بتقديرها.</w:t>
      </w:r>
    </w:p>
    <w:p w14:paraId="4DEF33FC" w14:textId="77777777" w:rsidR="000B7965" w:rsidRDefault="000B7965">
      <w:pPr>
        <w:bidi w:val="0"/>
        <w:spacing w:after="160" w:line="278" w:lineRule="auto"/>
        <w:jc w:val="left"/>
        <w:rPr>
          <w:rtl/>
        </w:rPr>
      </w:pPr>
      <w:r>
        <w:rPr>
          <w:rtl/>
        </w:rPr>
        <w:br w:type="page"/>
      </w:r>
    </w:p>
    <w:p w14:paraId="13F16B9A" w14:textId="77777777" w:rsidR="00C742E9" w:rsidRPr="00CF742B" w:rsidRDefault="00C742E9" w:rsidP="00C742E9">
      <w:pPr>
        <w:spacing w:after="120"/>
        <w:ind w:firstLine="567"/>
        <w:rPr>
          <w:b/>
          <w:bCs/>
          <w:rtl/>
        </w:rPr>
      </w:pPr>
      <w:r w:rsidRPr="00CF742B">
        <w:rPr>
          <w:rFonts w:hint="cs"/>
          <w:b/>
          <w:bCs/>
          <w:rtl/>
        </w:rPr>
        <w:lastRenderedPageBreak/>
        <w:t>ومن المسائل المندرجة تحت هذا الباب:</w:t>
      </w:r>
    </w:p>
    <w:p w14:paraId="2FB9ABE4" w14:textId="77777777" w:rsidR="00C742E9" w:rsidRPr="00CF742B" w:rsidRDefault="00C742E9" w:rsidP="00C742E9">
      <w:pPr>
        <w:spacing w:after="120"/>
        <w:ind w:firstLine="567"/>
        <w:rPr>
          <w:rtl/>
        </w:rPr>
      </w:pPr>
      <w:r w:rsidRPr="00CF742B">
        <w:rPr>
          <w:rFonts w:hint="cs"/>
          <w:rtl/>
        </w:rPr>
        <w:t>ما ذهب إليه الشافعية</w:t>
      </w:r>
      <w:r w:rsidRPr="00CF742B">
        <w:rPr>
          <w:rStyle w:val="aa"/>
          <w:rtl/>
        </w:rPr>
        <w:t>(</w:t>
      </w:r>
      <w:r w:rsidRPr="00CF742B">
        <w:rPr>
          <w:rStyle w:val="aa"/>
          <w:rtl/>
        </w:rPr>
        <w:footnoteReference w:id="94"/>
      </w:r>
      <w:r w:rsidRPr="00CF742B">
        <w:rPr>
          <w:rStyle w:val="aa"/>
          <w:rtl/>
        </w:rPr>
        <w:t>)</w:t>
      </w:r>
      <w:r w:rsidRPr="00CF742B">
        <w:rPr>
          <w:rFonts w:hint="cs"/>
          <w:rtl/>
        </w:rPr>
        <w:t xml:space="preserve"> والحنابلة</w:t>
      </w:r>
      <w:r w:rsidRPr="00CF742B">
        <w:rPr>
          <w:rStyle w:val="aa"/>
          <w:rtl/>
        </w:rPr>
        <w:t>(</w:t>
      </w:r>
      <w:r w:rsidRPr="00CF742B">
        <w:rPr>
          <w:rStyle w:val="aa"/>
          <w:rtl/>
        </w:rPr>
        <w:footnoteReference w:id="95"/>
      </w:r>
      <w:r w:rsidRPr="00CF742B">
        <w:rPr>
          <w:rStyle w:val="aa"/>
          <w:rtl/>
        </w:rPr>
        <w:t>)</w:t>
      </w:r>
      <w:r w:rsidRPr="00CF742B">
        <w:rPr>
          <w:rFonts w:hint="cs"/>
          <w:rtl/>
        </w:rPr>
        <w:t xml:space="preserve"> بأن الحركة اليسيرة لا تبطل الصلاة، وأن المرجع في ذلك هو العرف، جاء في الإنصاف في كلامه عن هذه المسألة: "</w:t>
      </w:r>
      <w:r w:rsidRPr="00CF742B">
        <w:rPr>
          <w:rtl/>
        </w:rPr>
        <w:t>يرجع في طول الفعل وقصره في الصلاة إلى العرف</w:t>
      </w:r>
      <w:r w:rsidRPr="00CF742B">
        <w:rPr>
          <w:rFonts w:hint="cs"/>
          <w:rtl/>
        </w:rPr>
        <w:t>،</w:t>
      </w:r>
      <w:r w:rsidRPr="00CF742B">
        <w:rPr>
          <w:rtl/>
        </w:rPr>
        <w:t xml:space="preserve"> فما ع</w:t>
      </w:r>
      <w:r w:rsidRPr="00CF742B">
        <w:rPr>
          <w:rFonts w:hint="cs"/>
          <w:rtl/>
        </w:rPr>
        <w:t>ُ</w:t>
      </w:r>
      <w:r w:rsidRPr="00CF742B">
        <w:rPr>
          <w:rtl/>
        </w:rPr>
        <w:t>د</w:t>
      </w:r>
      <w:r w:rsidRPr="00CF742B">
        <w:rPr>
          <w:rFonts w:hint="cs"/>
          <w:rtl/>
        </w:rPr>
        <w:t>ّ</w:t>
      </w:r>
      <w:r w:rsidRPr="00CF742B">
        <w:rPr>
          <w:rtl/>
        </w:rPr>
        <w:t xml:space="preserve"> في العرف كثير فهو كثير، وما ع</w:t>
      </w:r>
      <w:r w:rsidRPr="00CF742B">
        <w:rPr>
          <w:rFonts w:hint="cs"/>
          <w:rtl/>
        </w:rPr>
        <w:t>ُ</w:t>
      </w:r>
      <w:r w:rsidRPr="00CF742B">
        <w:rPr>
          <w:rtl/>
        </w:rPr>
        <w:t>د</w:t>
      </w:r>
      <w:r w:rsidRPr="00CF742B">
        <w:rPr>
          <w:rFonts w:hint="cs"/>
          <w:rtl/>
        </w:rPr>
        <w:t>ّ</w:t>
      </w:r>
      <w:r w:rsidRPr="00CF742B">
        <w:rPr>
          <w:rtl/>
        </w:rPr>
        <w:t xml:space="preserve"> في العرف يسير فهو يسير</w:t>
      </w:r>
      <w:r w:rsidRPr="00CF742B">
        <w:rPr>
          <w:rFonts w:hint="cs"/>
          <w:rtl/>
        </w:rPr>
        <w:t>".</w:t>
      </w:r>
      <w:r w:rsidRPr="00CF742B">
        <w:rPr>
          <w:rStyle w:val="aa"/>
          <w:rtl/>
        </w:rPr>
        <w:t>(</w:t>
      </w:r>
      <w:r w:rsidRPr="00CF742B">
        <w:rPr>
          <w:rStyle w:val="aa"/>
          <w:rtl/>
        </w:rPr>
        <w:footnoteReference w:id="96"/>
      </w:r>
      <w:r w:rsidRPr="00CF742B">
        <w:rPr>
          <w:rStyle w:val="aa"/>
          <w:rtl/>
        </w:rPr>
        <w:t>)</w:t>
      </w:r>
      <w:r w:rsidRPr="00CF742B">
        <w:rPr>
          <w:rtl/>
        </w:rPr>
        <w:t xml:space="preserve"> </w:t>
      </w:r>
    </w:p>
    <w:p w14:paraId="01042578" w14:textId="77777777" w:rsidR="00C742E9" w:rsidRPr="00CF742B" w:rsidRDefault="00C742E9" w:rsidP="00C742E9">
      <w:pPr>
        <w:spacing w:after="120"/>
        <w:ind w:firstLine="567"/>
        <w:rPr>
          <w:rtl/>
        </w:rPr>
      </w:pPr>
      <w:r w:rsidRPr="00CF742B">
        <w:rPr>
          <w:rFonts w:hint="cs"/>
          <w:rtl/>
        </w:rPr>
        <w:t>وفي الفصل بين النوم اليسير والكثير الناقض للوضوء، ذهب الحنابلة</w:t>
      </w:r>
      <w:r w:rsidRPr="00CF742B">
        <w:rPr>
          <w:rStyle w:val="aa"/>
          <w:rtl/>
        </w:rPr>
        <w:t>(</w:t>
      </w:r>
      <w:r w:rsidRPr="00CF742B">
        <w:rPr>
          <w:rStyle w:val="aa"/>
          <w:rtl/>
        </w:rPr>
        <w:footnoteReference w:id="97"/>
      </w:r>
      <w:r w:rsidRPr="00CF742B">
        <w:rPr>
          <w:rStyle w:val="aa"/>
          <w:rtl/>
        </w:rPr>
        <w:t>)</w:t>
      </w:r>
      <w:r w:rsidRPr="00CF742B">
        <w:rPr>
          <w:rFonts w:hint="cs"/>
          <w:rtl/>
        </w:rPr>
        <w:t xml:space="preserve"> إلى أن الفاصل بينهما هو العرف، جاء في المغني: "</w:t>
      </w:r>
      <w:r w:rsidRPr="00CF742B">
        <w:rPr>
          <w:rtl/>
        </w:rPr>
        <w:t>واختلف أصحابنا في تحديد الكثير من النوم الذي ينقض الوضوء؛ فقال القاض</w:t>
      </w:r>
      <w:r w:rsidRPr="00CF742B">
        <w:rPr>
          <w:rFonts w:hint="cs"/>
          <w:rtl/>
        </w:rPr>
        <w:t>ي</w:t>
      </w:r>
      <w:r w:rsidRPr="00CF742B">
        <w:rPr>
          <w:rtl/>
        </w:rPr>
        <w:t>: ليس للقليل حد يرجع إليه، وهو على ما جرت به العادة</w:t>
      </w:r>
      <w:r w:rsidRPr="00CF742B">
        <w:rPr>
          <w:rFonts w:hint="cs"/>
          <w:rtl/>
        </w:rPr>
        <w:t xml:space="preserve">، ... </w:t>
      </w:r>
      <w:r w:rsidRPr="00CF742B">
        <w:rPr>
          <w:rtl/>
        </w:rPr>
        <w:t>والصحيح: أنه لا حد له؛ لأن التحديد إنما يعلم بتوقيف، ولا توقيف في هذا</w:t>
      </w:r>
      <w:r w:rsidRPr="00CF742B">
        <w:rPr>
          <w:rFonts w:hint="cs"/>
          <w:rtl/>
        </w:rPr>
        <w:t>".</w:t>
      </w:r>
      <w:r w:rsidRPr="00CF742B">
        <w:rPr>
          <w:rStyle w:val="aa"/>
          <w:rtl/>
        </w:rPr>
        <w:t>(</w:t>
      </w:r>
      <w:r w:rsidRPr="00CF742B">
        <w:rPr>
          <w:rStyle w:val="aa"/>
          <w:rtl/>
        </w:rPr>
        <w:footnoteReference w:id="98"/>
      </w:r>
      <w:r w:rsidRPr="00CF742B">
        <w:rPr>
          <w:rStyle w:val="aa"/>
          <w:rtl/>
        </w:rPr>
        <w:t>)</w:t>
      </w:r>
      <w:r w:rsidRPr="00CF742B">
        <w:rPr>
          <w:rtl/>
        </w:rPr>
        <w:t xml:space="preserve"> </w:t>
      </w:r>
    </w:p>
    <w:p w14:paraId="171E25B1" w14:textId="75234719" w:rsidR="00C742E9" w:rsidRPr="00CF742B" w:rsidRDefault="00C742E9" w:rsidP="00C742E9">
      <w:pPr>
        <w:spacing w:after="120"/>
        <w:ind w:firstLine="567"/>
        <w:rPr>
          <w:rtl/>
        </w:rPr>
      </w:pPr>
      <w:r w:rsidRPr="00CF742B">
        <w:rPr>
          <w:rFonts w:hint="cs"/>
          <w:rtl/>
        </w:rPr>
        <w:t>وكذلك يُعفى عند الشافعية</w:t>
      </w:r>
      <w:r w:rsidRPr="00CF742B">
        <w:rPr>
          <w:rStyle w:val="aa"/>
          <w:rtl/>
        </w:rPr>
        <w:t>(</w:t>
      </w:r>
      <w:r w:rsidRPr="00CF742B">
        <w:rPr>
          <w:rStyle w:val="aa"/>
          <w:rtl/>
        </w:rPr>
        <w:footnoteReference w:id="99"/>
      </w:r>
      <w:r w:rsidRPr="00CF742B">
        <w:rPr>
          <w:rStyle w:val="aa"/>
          <w:rtl/>
        </w:rPr>
        <w:t>)</w:t>
      </w:r>
      <w:r w:rsidRPr="00CF742B">
        <w:rPr>
          <w:rFonts w:hint="cs"/>
          <w:rtl/>
        </w:rPr>
        <w:t xml:space="preserve"> والحنابلة</w:t>
      </w:r>
      <w:r w:rsidRPr="00CF742B">
        <w:rPr>
          <w:rStyle w:val="aa"/>
          <w:rtl/>
        </w:rPr>
        <w:t>(</w:t>
      </w:r>
      <w:r w:rsidRPr="00CF742B">
        <w:rPr>
          <w:rStyle w:val="aa"/>
          <w:rtl/>
        </w:rPr>
        <w:footnoteReference w:id="100"/>
      </w:r>
      <w:r w:rsidRPr="00CF742B">
        <w:rPr>
          <w:rStyle w:val="aa"/>
          <w:rtl/>
        </w:rPr>
        <w:t>)</w:t>
      </w:r>
      <w:r w:rsidRPr="00CF742B">
        <w:rPr>
          <w:rFonts w:hint="cs"/>
          <w:rtl/>
        </w:rPr>
        <w:t xml:space="preserve"> عن النجاسة اليسيرة من الدم والقيح، وأن تقدير اليسير يرجع إلى عرف الناس، فما عدوه يسير</w:t>
      </w:r>
      <w:r w:rsidR="005F7C17">
        <w:rPr>
          <w:rFonts w:hint="cs"/>
          <w:rtl/>
        </w:rPr>
        <w:t>ًا</w:t>
      </w:r>
      <w:r w:rsidRPr="00CF742B">
        <w:rPr>
          <w:rFonts w:hint="cs"/>
          <w:rtl/>
        </w:rPr>
        <w:t xml:space="preserve"> فهو يسير.</w:t>
      </w:r>
    </w:p>
    <w:p w14:paraId="7A98BA82" w14:textId="7FD7F783" w:rsidR="00C742E9" w:rsidRPr="00CF742B" w:rsidRDefault="00C742E9" w:rsidP="00C742E9">
      <w:pPr>
        <w:spacing w:after="120"/>
        <w:ind w:firstLine="567"/>
        <w:rPr>
          <w:rtl/>
        </w:rPr>
      </w:pPr>
      <w:r w:rsidRPr="00CF742B">
        <w:rPr>
          <w:rFonts w:hint="cs"/>
          <w:rtl/>
        </w:rPr>
        <w:lastRenderedPageBreak/>
        <w:t>ومن المسائل؛ الأخذ برخص السفر فيما يُعدُّ سفر</w:t>
      </w:r>
      <w:r w:rsidR="005F7C17">
        <w:rPr>
          <w:rFonts w:hint="cs"/>
          <w:rtl/>
        </w:rPr>
        <w:t>ًا</w:t>
      </w:r>
      <w:r w:rsidRPr="00CF742B">
        <w:rPr>
          <w:rFonts w:hint="cs"/>
          <w:rtl/>
        </w:rPr>
        <w:t xml:space="preserve"> عرف</w:t>
      </w:r>
      <w:r w:rsidR="005F7C17">
        <w:rPr>
          <w:rFonts w:hint="cs"/>
          <w:rtl/>
        </w:rPr>
        <w:t>ًا</w:t>
      </w:r>
      <w:r w:rsidRPr="00CF742B">
        <w:rPr>
          <w:rFonts w:hint="cs"/>
          <w:rtl/>
        </w:rPr>
        <w:t>، سواءً كانت المسافة طويلة أو قصيرة، وهذا مذهب الظاهرية</w:t>
      </w:r>
      <w:r w:rsidRPr="00CF742B">
        <w:rPr>
          <w:rStyle w:val="aa"/>
          <w:rtl/>
        </w:rPr>
        <w:t>(</w:t>
      </w:r>
      <w:r w:rsidRPr="00CF742B">
        <w:rPr>
          <w:rStyle w:val="aa"/>
          <w:rtl/>
        </w:rPr>
        <w:footnoteReference w:id="101"/>
      </w:r>
      <w:r w:rsidRPr="00CF742B">
        <w:rPr>
          <w:rStyle w:val="aa"/>
          <w:rtl/>
        </w:rPr>
        <w:t>)</w:t>
      </w:r>
      <w:r w:rsidRPr="00CF742B">
        <w:rPr>
          <w:rFonts w:hint="cs"/>
          <w:rtl/>
        </w:rPr>
        <w:t>، وقال به بعض الحنابلة</w:t>
      </w:r>
      <w:r w:rsidRPr="00CF742B">
        <w:rPr>
          <w:rStyle w:val="aa"/>
          <w:rtl/>
        </w:rPr>
        <w:t>(</w:t>
      </w:r>
      <w:r w:rsidRPr="00CF742B">
        <w:rPr>
          <w:rStyle w:val="aa"/>
          <w:rtl/>
        </w:rPr>
        <w:footnoteReference w:id="102"/>
      </w:r>
      <w:r w:rsidRPr="00CF742B">
        <w:rPr>
          <w:rStyle w:val="aa"/>
          <w:rtl/>
        </w:rPr>
        <w:t>)</w:t>
      </w:r>
      <w:r w:rsidRPr="00CF742B">
        <w:rPr>
          <w:rFonts w:hint="cs"/>
          <w:rtl/>
        </w:rPr>
        <w:t>، واختاره ابن تيمية</w:t>
      </w:r>
      <w:r w:rsidRPr="00CF742B">
        <w:rPr>
          <w:rStyle w:val="aa"/>
          <w:rtl/>
        </w:rPr>
        <w:t>(</w:t>
      </w:r>
      <w:r w:rsidRPr="00CF742B">
        <w:rPr>
          <w:rStyle w:val="aa"/>
          <w:rtl/>
        </w:rPr>
        <w:footnoteReference w:id="103"/>
      </w:r>
      <w:r w:rsidRPr="00CF742B">
        <w:rPr>
          <w:rStyle w:val="aa"/>
          <w:rtl/>
        </w:rPr>
        <w:t>)</w:t>
      </w:r>
      <w:r w:rsidRPr="00CF742B">
        <w:rPr>
          <w:rFonts w:hint="cs"/>
          <w:rtl/>
        </w:rPr>
        <w:t>، وابن القيم</w:t>
      </w:r>
      <w:r w:rsidRPr="00CF742B">
        <w:rPr>
          <w:rStyle w:val="aa"/>
          <w:rtl/>
        </w:rPr>
        <w:t>(</w:t>
      </w:r>
      <w:r w:rsidRPr="00CF742B">
        <w:rPr>
          <w:rStyle w:val="aa"/>
          <w:rtl/>
        </w:rPr>
        <w:footnoteReference w:id="104"/>
      </w:r>
      <w:r w:rsidRPr="00CF742B">
        <w:rPr>
          <w:rStyle w:val="aa"/>
          <w:rtl/>
        </w:rPr>
        <w:t>)</w:t>
      </w:r>
      <w:r w:rsidRPr="00CF742B">
        <w:rPr>
          <w:rFonts w:hint="cs"/>
          <w:rtl/>
        </w:rPr>
        <w:t>.</w:t>
      </w:r>
    </w:p>
    <w:p w14:paraId="5038164F" w14:textId="64661A2A" w:rsidR="00C742E9" w:rsidRPr="00CF742B" w:rsidRDefault="00C742E9" w:rsidP="00C742E9">
      <w:pPr>
        <w:spacing w:after="120"/>
        <w:ind w:firstLine="567"/>
        <w:rPr>
          <w:rtl/>
        </w:rPr>
      </w:pPr>
      <w:r w:rsidRPr="00CF742B">
        <w:rPr>
          <w:rFonts w:hint="cs"/>
          <w:rtl/>
        </w:rPr>
        <w:t>وكذلك أن من نسي سجود السهو، فذكره بعد ذلك، فإن لم يطل الفصل عرف</w:t>
      </w:r>
      <w:r w:rsidR="005F7C17">
        <w:rPr>
          <w:rFonts w:hint="cs"/>
          <w:rtl/>
        </w:rPr>
        <w:t>ًا</w:t>
      </w:r>
      <w:r w:rsidRPr="00CF742B">
        <w:rPr>
          <w:rFonts w:hint="cs"/>
          <w:rtl/>
        </w:rPr>
        <w:t>، فيأتي به، وهذا مذهب المالكية</w:t>
      </w:r>
      <w:r w:rsidRPr="00CF742B">
        <w:rPr>
          <w:rStyle w:val="aa"/>
          <w:rtl/>
        </w:rPr>
        <w:t>(</w:t>
      </w:r>
      <w:r w:rsidRPr="00CF742B">
        <w:rPr>
          <w:rStyle w:val="aa"/>
          <w:rtl/>
        </w:rPr>
        <w:footnoteReference w:id="105"/>
      </w:r>
      <w:r w:rsidRPr="00CF742B">
        <w:rPr>
          <w:rStyle w:val="aa"/>
          <w:rtl/>
        </w:rPr>
        <w:t>)</w:t>
      </w:r>
      <w:r w:rsidRPr="00CF742B">
        <w:rPr>
          <w:rFonts w:hint="cs"/>
          <w:rtl/>
        </w:rPr>
        <w:t>، والشافعية</w:t>
      </w:r>
      <w:r w:rsidRPr="00CF742B">
        <w:rPr>
          <w:rStyle w:val="aa"/>
          <w:rtl/>
        </w:rPr>
        <w:t>(</w:t>
      </w:r>
      <w:r w:rsidRPr="00CF742B">
        <w:rPr>
          <w:rStyle w:val="aa"/>
          <w:rtl/>
        </w:rPr>
        <w:footnoteReference w:id="106"/>
      </w:r>
      <w:r w:rsidRPr="00CF742B">
        <w:rPr>
          <w:rStyle w:val="aa"/>
          <w:rtl/>
        </w:rPr>
        <w:t>)</w:t>
      </w:r>
      <w:r w:rsidRPr="00CF742B">
        <w:rPr>
          <w:rFonts w:hint="cs"/>
          <w:rtl/>
        </w:rPr>
        <w:t>، والحنابلة</w:t>
      </w:r>
      <w:r w:rsidRPr="00CF742B">
        <w:rPr>
          <w:rStyle w:val="aa"/>
          <w:rtl/>
        </w:rPr>
        <w:t>(</w:t>
      </w:r>
      <w:r w:rsidRPr="00CF742B">
        <w:rPr>
          <w:rStyle w:val="aa"/>
          <w:rtl/>
        </w:rPr>
        <w:footnoteReference w:id="107"/>
      </w:r>
      <w:r w:rsidRPr="00CF742B">
        <w:rPr>
          <w:rStyle w:val="aa"/>
          <w:rtl/>
        </w:rPr>
        <w:t>)</w:t>
      </w:r>
      <w:r w:rsidRPr="00CF742B">
        <w:rPr>
          <w:rFonts w:hint="cs"/>
          <w:rtl/>
        </w:rPr>
        <w:t>، جاء في مغني المحتاج: "</w:t>
      </w:r>
      <w:r w:rsidRPr="00CF742B">
        <w:rPr>
          <w:rtl/>
        </w:rPr>
        <w:t>فإن قصر الفصل سجد</w:t>
      </w:r>
      <w:r w:rsidRPr="00CF742B">
        <w:rPr>
          <w:rFonts w:hint="cs"/>
          <w:rtl/>
        </w:rPr>
        <w:t>،</w:t>
      </w:r>
      <w:r w:rsidRPr="00CF742B">
        <w:rPr>
          <w:rtl/>
        </w:rPr>
        <w:t xml:space="preserve"> وإلا فلا وطال الفصل عرف</w:t>
      </w:r>
      <w:r w:rsidR="005F7C17">
        <w:rPr>
          <w:rtl/>
        </w:rPr>
        <w:t>ًا</w:t>
      </w:r>
      <w:r w:rsidRPr="00CF742B">
        <w:rPr>
          <w:rFonts w:hint="cs"/>
          <w:rtl/>
        </w:rPr>
        <w:t xml:space="preserve"> </w:t>
      </w:r>
      <w:r w:rsidRPr="00CF742B">
        <w:rPr>
          <w:rtl/>
        </w:rPr>
        <w:t>فات السجود</w:t>
      </w:r>
      <w:r w:rsidRPr="00CF742B">
        <w:rPr>
          <w:rFonts w:hint="cs"/>
          <w:rtl/>
        </w:rPr>
        <w:t>"</w:t>
      </w:r>
      <w:r w:rsidRPr="00CF742B">
        <w:rPr>
          <w:rStyle w:val="aa"/>
          <w:rtl/>
        </w:rPr>
        <w:t>(</w:t>
      </w:r>
      <w:r w:rsidRPr="00CF742B">
        <w:rPr>
          <w:rStyle w:val="aa"/>
          <w:rtl/>
        </w:rPr>
        <w:footnoteReference w:id="108"/>
      </w:r>
      <w:r w:rsidRPr="00CF742B">
        <w:rPr>
          <w:rStyle w:val="aa"/>
          <w:rtl/>
        </w:rPr>
        <w:t>)</w:t>
      </w:r>
      <w:r w:rsidRPr="00CF742B">
        <w:rPr>
          <w:rFonts w:hint="cs"/>
          <w:rtl/>
        </w:rPr>
        <w:t>.</w:t>
      </w:r>
    </w:p>
    <w:p w14:paraId="12BCA759" w14:textId="7E6028DA" w:rsidR="000B7965" w:rsidRDefault="00C742E9" w:rsidP="00C742E9">
      <w:pPr>
        <w:spacing w:after="120"/>
        <w:ind w:firstLine="567"/>
        <w:rPr>
          <w:rtl/>
        </w:rPr>
      </w:pPr>
      <w:r w:rsidRPr="00CF742B">
        <w:rPr>
          <w:rFonts w:hint="cs"/>
          <w:rtl/>
        </w:rPr>
        <w:t>وكذلك في تقدير الغبن الفاحش مرده للعرف، وهذا مذهب الشافعية</w:t>
      </w:r>
      <w:r w:rsidRPr="00CF742B">
        <w:rPr>
          <w:rStyle w:val="aa"/>
          <w:rtl/>
        </w:rPr>
        <w:t>(</w:t>
      </w:r>
      <w:r w:rsidRPr="00CF742B">
        <w:rPr>
          <w:rStyle w:val="aa"/>
          <w:rtl/>
        </w:rPr>
        <w:footnoteReference w:id="109"/>
      </w:r>
      <w:r w:rsidRPr="00CF742B">
        <w:rPr>
          <w:rStyle w:val="aa"/>
          <w:rtl/>
        </w:rPr>
        <w:t>)</w:t>
      </w:r>
      <w:r w:rsidRPr="00CF742B">
        <w:rPr>
          <w:rFonts w:hint="cs"/>
          <w:rtl/>
        </w:rPr>
        <w:t xml:space="preserve"> والحنابلة</w:t>
      </w:r>
      <w:r w:rsidRPr="00CF742B">
        <w:rPr>
          <w:rStyle w:val="aa"/>
          <w:rtl/>
        </w:rPr>
        <w:t>(</w:t>
      </w:r>
      <w:r w:rsidRPr="00CF742B">
        <w:rPr>
          <w:rStyle w:val="aa"/>
          <w:rtl/>
        </w:rPr>
        <w:footnoteReference w:id="110"/>
      </w:r>
      <w:r w:rsidRPr="00CF742B">
        <w:rPr>
          <w:rStyle w:val="aa"/>
          <w:rtl/>
        </w:rPr>
        <w:t>)</w:t>
      </w:r>
      <w:r w:rsidRPr="00CF742B">
        <w:rPr>
          <w:rFonts w:hint="cs"/>
          <w:rtl/>
        </w:rPr>
        <w:t xml:space="preserve"> ورواية للمالكية</w:t>
      </w:r>
      <w:r w:rsidRPr="00CF742B">
        <w:rPr>
          <w:rStyle w:val="aa"/>
          <w:rtl/>
        </w:rPr>
        <w:t>(</w:t>
      </w:r>
      <w:r w:rsidRPr="00CF742B">
        <w:rPr>
          <w:rStyle w:val="aa"/>
          <w:rtl/>
        </w:rPr>
        <w:footnoteReference w:id="111"/>
      </w:r>
      <w:r w:rsidRPr="00CF742B">
        <w:rPr>
          <w:rStyle w:val="aa"/>
          <w:rtl/>
        </w:rPr>
        <w:t>)</w:t>
      </w:r>
      <w:r w:rsidRPr="00CF742B">
        <w:rPr>
          <w:rFonts w:hint="cs"/>
          <w:rtl/>
        </w:rPr>
        <w:t>، قال ابن قدامة عند هذه المسألة: "</w:t>
      </w:r>
      <w:r w:rsidRPr="00CF742B">
        <w:rPr>
          <w:rtl/>
        </w:rPr>
        <w:t>أن ما لا يرد الشرع بتحديده</w:t>
      </w:r>
      <w:r w:rsidRPr="00CF742B">
        <w:rPr>
          <w:rFonts w:hint="cs"/>
          <w:rtl/>
        </w:rPr>
        <w:t>؛</w:t>
      </w:r>
      <w:r w:rsidRPr="00CF742B">
        <w:rPr>
          <w:rtl/>
        </w:rPr>
        <w:t xml:space="preserve"> يرجع فيه إلى العرف</w:t>
      </w:r>
      <w:r w:rsidRPr="00CF742B">
        <w:rPr>
          <w:rFonts w:hint="cs"/>
          <w:rtl/>
        </w:rPr>
        <w:t>".</w:t>
      </w:r>
      <w:r w:rsidRPr="00CF742B">
        <w:rPr>
          <w:rStyle w:val="aa"/>
          <w:rtl/>
        </w:rPr>
        <w:t>(</w:t>
      </w:r>
      <w:r w:rsidRPr="00CF742B">
        <w:rPr>
          <w:rStyle w:val="aa"/>
          <w:rtl/>
        </w:rPr>
        <w:footnoteReference w:id="112"/>
      </w:r>
      <w:r w:rsidRPr="00CF742B">
        <w:rPr>
          <w:rStyle w:val="aa"/>
          <w:rtl/>
        </w:rPr>
        <w:t>)</w:t>
      </w:r>
    </w:p>
    <w:p w14:paraId="575F4ED5" w14:textId="77777777" w:rsidR="00C742E9" w:rsidRPr="00CF742B" w:rsidRDefault="00C742E9" w:rsidP="00C742E9">
      <w:pPr>
        <w:spacing w:after="120"/>
        <w:ind w:firstLine="567"/>
        <w:rPr>
          <w:rFonts w:hint="cs"/>
          <w:rtl/>
          <w:lang w:bidi="ar-EG"/>
        </w:rPr>
      </w:pPr>
    </w:p>
    <w:p w14:paraId="6A6CC238" w14:textId="77777777" w:rsidR="00C742E9" w:rsidRPr="00CF742B" w:rsidRDefault="00C742E9" w:rsidP="00C742E9">
      <w:pPr>
        <w:spacing w:after="120"/>
        <w:rPr>
          <w:b/>
          <w:bCs/>
          <w:rtl/>
        </w:rPr>
      </w:pPr>
      <w:r w:rsidRPr="00CF742B">
        <w:rPr>
          <w:rFonts w:hint="cs"/>
          <w:b/>
          <w:bCs/>
          <w:rtl/>
        </w:rPr>
        <w:lastRenderedPageBreak/>
        <w:t>الترجيح:</w:t>
      </w:r>
    </w:p>
    <w:p w14:paraId="6963C3B8" w14:textId="790B0C7D" w:rsidR="00C742E9" w:rsidRPr="00CF742B" w:rsidRDefault="00C742E9" w:rsidP="00C742E9">
      <w:pPr>
        <w:spacing w:after="120"/>
        <w:ind w:firstLine="567"/>
        <w:rPr>
          <w:rtl/>
        </w:rPr>
      </w:pPr>
      <w:r w:rsidRPr="00CF742B">
        <w:rPr>
          <w:rFonts w:hint="cs"/>
          <w:rtl/>
        </w:rPr>
        <w:t>بعد عرض الأقوال التي ذكرها الفقهاء في تقديرهم لليسير نجد أن بينهم تباين</w:t>
      </w:r>
      <w:r w:rsidR="005F7C17">
        <w:rPr>
          <w:rFonts w:hint="cs"/>
          <w:rtl/>
        </w:rPr>
        <w:t>ًا</w:t>
      </w:r>
      <w:r w:rsidRPr="00CF742B">
        <w:rPr>
          <w:rFonts w:hint="cs"/>
          <w:rtl/>
        </w:rPr>
        <w:t xml:space="preserve"> واختلاف</w:t>
      </w:r>
      <w:r w:rsidR="005F7C17">
        <w:rPr>
          <w:rFonts w:hint="cs"/>
          <w:rtl/>
        </w:rPr>
        <w:t>ًا</w:t>
      </w:r>
      <w:r w:rsidRPr="00CF742B">
        <w:rPr>
          <w:rFonts w:hint="cs"/>
          <w:rtl/>
        </w:rPr>
        <w:t xml:space="preserve"> كبير</w:t>
      </w:r>
      <w:r w:rsidR="005F7C17">
        <w:rPr>
          <w:rFonts w:hint="cs"/>
          <w:rtl/>
        </w:rPr>
        <w:t>ًا</w:t>
      </w:r>
      <w:r w:rsidRPr="00CF742B">
        <w:rPr>
          <w:rFonts w:hint="cs"/>
          <w:rtl/>
        </w:rPr>
        <w:t xml:space="preserve"> في وضع ضابط يحد بين اليسير والكثير مما يتعذر معه الجمع بين هذه الأقوال، ويجعلنا نخلص بعد ذلك إلى الترجيح.</w:t>
      </w:r>
    </w:p>
    <w:p w14:paraId="335860D5" w14:textId="4F046A3B" w:rsidR="00C742E9" w:rsidRPr="00CF742B" w:rsidRDefault="00C742E9" w:rsidP="00C742E9">
      <w:pPr>
        <w:spacing w:after="120"/>
        <w:ind w:firstLine="567"/>
        <w:rPr>
          <w:rtl/>
        </w:rPr>
      </w:pPr>
      <w:r w:rsidRPr="00CF742B">
        <w:rPr>
          <w:rFonts w:hint="cs"/>
          <w:rtl/>
        </w:rPr>
        <w:t>فبعد عرض الأقوال والنظر فيها بدا لي تعسر ضبط اليسير في جميع المسائل بمعيار معين كالثلث والربع مثل</w:t>
      </w:r>
      <w:r w:rsidR="005F7C17">
        <w:rPr>
          <w:rFonts w:hint="cs"/>
          <w:rtl/>
        </w:rPr>
        <w:t>ًا</w:t>
      </w:r>
      <w:r w:rsidRPr="00CF742B">
        <w:rPr>
          <w:rFonts w:hint="cs"/>
          <w:rtl/>
        </w:rPr>
        <w:t>، إذ أن المذاهب الفقهية نفسها اختلفت في تحديد مفهوم اليسير حسب المسألة، ما يدل على تعذر وضع ضابط واحد لجميع المسائل.</w:t>
      </w:r>
    </w:p>
    <w:p w14:paraId="60878FF0" w14:textId="77777777" w:rsidR="00C742E9" w:rsidRPr="00CF742B" w:rsidRDefault="00C742E9" w:rsidP="00C742E9">
      <w:pPr>
        <w:spacing w:after="120"/>
        <w:ind w:firstLine="567"/>
        <w:rPr>
          <w:rtl/>
        </w:rPr>
      </w:pPr>
      <w:r w:rsidRPr="00CF742B">
        <w:rPr>
          <w:rFonts w:hint="cs"/>
          <w:rtl/>
        </w:rPr>
        <w:t>والراجح القول بأن اليسير يختلف في كل أمر بحسبه، وأن المرجع في تقديره هو العرف، ولا يُصار عنه إلا فيما جاء الشارع بضبط يسيره وبيان قليله من كثيره، فنأخذ هنا بما ورد.</w:t>
      </w:r>
    </w:p>
    <w:p w14:paraId="4BA9CBBE" w14:textId="7E03F497" w:rsidR="00C742E9" w:rsidRPr="00CF742B" w:rsidRDefault="00C742E9" w:rsidP="00C742E9">
      <w:pPr>
        <w:spacing w:after="120"/>
        <w:ind w:firstLine="567"/>
        <w:rPr>
          <w:rtl/>
        </w:rPr>
      </w:pPr>
      <w:r w:rsidRPr="00CF742B">
        <w:rPr>
          <w:rFonts w:hint="cs"/>
          <w:rtl/>
        </w:rPr>
        <w:t>فالعرف قد يختلف باختلاف الأزمنة والأمكنة والأحوال، فلا يصح جعل حدٍ له ليكون معيار</w:t>
      </w:r>
      <w:r w:rsidR="005F7C17">
        <w:rPr>
          <w:rFonts w:hint="cs"/>
          <w:rtl/>
        </w:rPr>
        <w:t>ًا</w:t>
      </w:r>
      <w:r w:rsidRPr="00CF742B">
        <w:rPr>
          <w:rFonts w:hint="cs"/>
          <w:rtl/>
        </w:rPr>
        <w:t xml:space="preserve"> ثابت</w:t>
      </w:r>
      <w:r w:rsidR="005F7C17">
        <w:rPr>
          <w:rFonts w:hint="cs"/>
          <w:rtl/>
        </w:rPr>
        <w:t>ًا</w:t>
      </w:r>
      <w:r w:rsidRPr="00CF742B">
        <w:rPr>
          <w:rFonts w:hint="cs"/>
          <w:rtl/>
        </w:rPr>
        <w:t xml:space="preserve"> لكل زمان ومكان، فالأعراف متغيرة، وما يراه أهل زمن كثير</w:t>
      </w:r>
      <w:r w:rsidR="005F7C17">
        <w:rPr>
          <w:rFonts w:hint="cs"/>
          <w:rtl/>
        </w:rPr>
        <w:t>ًا</w:t>
      </w:r>
      <w:r w:rsidRPr="00CF742B">
        <w:rPr>
          <w:rFonts w:hint="cs"/>
          <w:rtl/>
        </w:rPr>
        <w:t>، قد يراه غيرهم يسير</w:t>
      </w:r>
      <w:r w:rsidR="005F7C17">
        <w:rPr>
          <w:rFonts w:hint="cs"/>
          <w:rtl/>
        </w:rPr>
        <w:t>ًا</w:t>
      </w:r>
      <w:r w:rsidRPr="00CF742B">
        <w:rPr>
          <w:rFonts w:hint="cs"/>
          <w:rtl/>
        </w:rPr>
        <w:t>.</w:t>
      </w:r>
    </w:p>
    <w:p w14:paraId="4BFA24E5" w14:textId="77777777" w:rsidR="00C742E9" w:rsidRPr="00CF742B" w:rsidRDefault="00C742E9" w:rsidP="00C742E9">
      <w:pPr>
        <w:spacing w:after="120"/>
        <w:rPr>
          <w:b/>
          <w:bCs/>
          <w:rtl/>
        </w:rPr>
      </w:pPr>
      <w:r w:rsidRPr="00CF742B">
        <w:rPr>
          <w:rFonts w:hint="cs"/>
          <w:b/>
          <w:bCs/>
          <w:rtl/>
        </w:rPr>
        <w:t>سبب الترجيح:</w:t>
      </w:r>
    </w:p>
    <w:p w14:paraId="56663C1B" w14:textId="77777777" w:rsidR="00C742E9" w:rsidRPr="00CF742B" w:rsidRDefault="00C742E9" w:rsidP="00C742E9">
      <w:pPr>
        <w:pStyle w:val="a6"/>
        <w:numPr>
          <w:ilvl w:val="0"/>
          <w:numId w:val="3"/>
        </w:numPr>
        <w:spacing w:after="120"/>
      </w:pPr>
      <w:r w:rsidRPr="00CF742B">
        <w:rPr>
          <w:rFonts w:hint="cs"/>
          <w:rtl/>
        </w:rPr>
        <w:t>قوة ما استدل به أصحاب هذا القول من الأدلة الصحيحة الصريحة الدالة على العمل بالعرف والأخذ به في كثير من المسائل، وعدم وضع تقدير محدد لذلك، كما في نفقة الوالد على والدة ولده المطلقة إذا أرضعته، وكما في أخذ الزوجة من مال زوجها إن لم ينفق عليها بالمعروف.</w:t>
      </w:r>
    </w:p>
    <w:p w14:paraId="2B1CCCA0" w14:textId="26A13F2B" w:rsidR="00C742E9" w:rsidRPr="00CF742B" w:rsidRDefault="00C742E9" w:rsidP="00C742E9">
      <w:pPr>
        <w:pStyle w:val="a6"/>
        <w:numPr>
          <w:ilvl w:val="0"/>
          <w:numId w:val="3"/>
        </w:numPr>
        <w:spacing w:after="120"/>
        <w:rPr>
          <w:rStyle w:val="aa"/>
          <w:position w:val="0"/>
          <w:sz w:val="32"/>
          <w:szCs w:val="36"/>
        </w:rPr>
      </w:pPr>
      <w:r w:rsidRPr="00CF742B">
        <w:rPr>
          <w:rFonts w:hint="cs"/>
          <w:rtl/>
        </w:rPr>
        <w:t>ولأن الشيء إذا لم يكن محدود</w:t>
      </w:r>
      <w:r w:rsidR="005F7C17">
        <w:rPr>
          <w:rFonts w:hint="cs"/>
          <w:rtl/>
        </w:rPr>
        <w:t>ًا</w:t>
      </w:r>
      <w:r w:rsidRPr="00CF742B">
        <w:rPr>
          <w:rFonts w:hint="cs"/>
          <w:rtl/>
        </w:rPr>
        <w:t xml:space="preserve"> في الشرع ولا في اللغة، كان الرجوع فيه إلى عادة الناس، كالتفرق والقبض والحرز وإحياء الموات، ف</w:t>
      </w:r>
      <w:r w:rsidRPr="00CF742B">
        <w:rPr>
          <w:rtl/>
        </w:rPr>
        <w:t>ما لم يرد ال</w:t>
      </w:r>
      <w:r w:rsidRPr="00CF742B">
        <w:rPr>
          <w:rFonts w:hint="cs"/>
          <w:rtl/>
        </w:rPr>
        <w:t>ش</w:t>
      </w:r>
      <w:r w:rsidRPr="00CF742B">
        <w:rPr>
          <w:rtl/>
        </w:rPr>
        <w:t>رع فيه بتحديد فإن</w:t>
      </w:r>
      <w:r w:rsidRPr="00CF742B">
        <w:rPr>
          <w:rFonts w:hint="cs"/>
          <w:rtl/>
        </w:rPr>
        <w:t>ه</w:t>
      </w:r>
      <w:r w:rsidRPr="00CF742B">
        <w:rPr>
          <w:rtl/>
        </w:rPr>
        <w:t xml:space="preserve"> </w:t>
      </w:r>
      <w:r w:rsidRPr="00CF742B">
        <w:rPr>
          <w:rtl/>
        </w:rPr>
        <w:lastRenderedPageBreak/>
        <w:t>ي</w:t>
      </w:r>
      <w:r w:rsidRPr="00CF742B">
        <w:rPr>
          <w:rFonts w:hint="cs"/>
          <w:rtl/>
        </w:rPr>
        <w:t>ُ</w:t>
      </w:r>
      <w:r w:rsidRPr="00CF742B">
        <w:rPr>
          <w:rtl/>
        </w:rPr>
        <w:t>رجع فيه إلى مقتضى العوائد</w:t>
      </w:r>
      <w:r w:rsidRPr="00CF742B">
        <w:rPr>
          <w:rStyle w:val="aa"/>
          <w:rtl/>
        </w:rPr>
        <w:t>(</w:t>
      </w:r>
      <w:r w:rsidRPr="00CF742B">
        <w:rPr>
          <w:rStyle w:val="aa"/>
          <w:rtl/>
        </w:rPr>
        <w:footnoteReference w:id="113"/>
      </w:r>
      <w:r w:rsidRPr="00CF742B">
        <w:rPr>
          <w:rStyle w:val="aa"/>
          <w:rtl/>
        </w:rPr>
        <w:t>)</w:t>
      </w:r>
      <w:r w:rsidRPr="00CF742B">
        <w:rPr>
          <w:rFonts w:hint="cs"/>
          <w:rtl/>
        </w:rPr>
        <w:t>، قال ابن قدامة: "والمرجع في الزمن الطويل والعمل الكثير إلى العرف؛ لأن التقدير إنما يصار فيه إلى التوقيف، ولا توقيف".</w:t>
      </w:r>
      <w:r w:rsidRPr="00CF742B">
        <w:rPr>
          <w:rStyle w:val="aa"/>
          <w:rtl/>
        </w:rPr>
        <w:t>(</w:t>
      </w:r>
      <w:r w:rsidRPr="00CF742B">
        <w:rPr>
          <w:rStyle w:val="aa"/>
          <w:rtl/>
        </w:rPr>
        <w:footnoteReference w:id="114"/>
      </w:r>
      <w:r w:rsidRPr="00CF742B">
        <w:rPr>
          <w:rStyle w:val="aa"/>
          <w:rtl/>
        </w:rPr>
        <w:t>)</w:t>
      </w:r>
    </w:p>
    <w:p w14:paraId="0AE2D06C" w14:textId="775E9D3A" w:rsidR="00C742E9" w:rsidRPr="00CF742B" w:rsidRDefault="00C742E9" w:rsidP="00C742E9">
      <w:pPr>
        <w:pStyle w:val="a6"/>
        <w:numPr>
          <w:ilvl w:val="0"/>
          <w:numId w:val="3"/>
        </w:numPr>
        <w:spacing w:after="120"/>
      </w:pPr>
      <w:r w:rsidRPr="00CF742B">
        <w:rPr>
          <w:rFonts w:hint="cs"/>
          <w:rtl/>
        </w:rPr>
        <w:t>ولأن القول بالعرف هو أكثر الأقوال شمولية وانتظام</w:t>
      </w:r>
      <w:r w:rsidR="005F7C17">
        <w:rPr>
          <w:rFonts w:hint="cs"/>
          <w:rtl/>
        </w:rPr>
        <w:t>ًا</w:t>
      </w:r>
      <w:r w:rsidRPr="00CF742B">
        <w:rPr>
          <w:rFonts w:hint="cs"/>
          <w:rtl/>
        </w:rPr>
        <w:t xml:space="preserve"> وانضباط</w:t>
      </w:r>
      <w:r w:rsidR="005F7C17">
        <w:rPr>
          <w:rFonts w:hint="cs"/>
          <w:rtl/>
        </w:rPr>
        <w:t>ًا</w:t>
      </w:r>
      <w:r w:rsidRPr="00CF742B">
        <w:rPr>
          <w:rFonts w:hint="cs"/>
          <w:rtl/>
        </w:rPr>
        <w:t>، فالربع أو الثلث ونحو هذه الضوابط قد يكون كثير</w:t>
      </w:r>
      <w:r w:rsidR="005F7C17">
        <w:rPr>
          <w:rFonts w:hint="cs"/>
          <w:rtl/>
        </w:rPr>
        <w:t>ًا</w:t>
      </w:r>
      <w:r w:rsidRPr="00CF742B">
        <w:rPr>
          <w:rFonts w:hint="cs"/>
          <w:rtl/>
        </w:rPr>
        <w:t xml:space="preserve"> في حالات، يسير</w:t>
      </w:r>
      <w:r w:rsidR="005F7C17">
        <w:rPr>
          <w:rFonts w:hint="cs"/>
          <w:rtl/>
        </w:rPr>
        <w:t>ًا</w:t>
      </w:r>
      <w:r w:rsidRPr="00CF742B">
        <w:rPr>
          <w:rFonts w:hint="cs"/>
          <w:rtl/>
        </w:rPr>
        <w:t xml:space="preserve"> في حالات أخرى، بخلاف العرف.</w:t>
      </w:r>
    </w:p>
    <w:p w14:paraId="3A627ED9" w14:textId="7F473980" w:rsidR="00C742E9" w:rsidRPr="00CF742B" w:rsidRDefault="00C742E9" w:rsidP="00C742E9">
      <w:pPr>
        <w:pStyle w:val="a6"/>
        <w:spacing w:after="120"/>
        <w:rPr>
          <w:rtl/>
        </w:rPr>
      </w:pPr>
      <w:r w:rsidRPr="00CF742B">
        <w:rPr>
          <w:rFonts w:hint="cs"/>
          <w:rtl/>
        </w:rPr>
        <w:t>قال الماوردي في معرض كلامه عما يكون به الغبن كثير</w:t>
      </w:r>
      <w:r w:rsidR="005F7C17">
        <w:rPr>
          <w:rFonts w:hint="cs"/>
          <w:rtl/>
        </w:rPr>
        <w:t>ًا</w:t>
      </w:r>
      <w:r w:rsidRPr="00CF742B">
        <w:rPr>
          <w:rFonts w:hint="cs"/>
          <w:rtl/>
        </w:rPr>
        <w:t xml:space="preserve"> أو يسير</w:t>
      </w:r>
      <w:r w:rsidR="005F7C17">
        <w:rPr>
          <w:rFonts w:hint="cs"/>
          <w:rtl/>
        </w:rPr>
        <w:t>ًا</w:t>
      </w:r>
      <w:r w:rsidRPr="00CF742B">
        <w:rPr>
          <w:rFonts w:hint="cs"/>
          <w:rtl/>
        </w:rPr>
        <w:t>: "</w:t>
      </w:r>
      <w:r w:rsidRPr="00CF742B">
        <w:rPr>
          <w:rtl/>
        </w:rPr>
        <w:t>لأن عرف الناس فيما يكون غبن</w:t>
      </w:r>
      <w:r w:rsidR="005F7C17">
        <w:rPr>
          <w:rtl/>
        </w:rPr>
        <w:t>ًا</w:t>
      </w:r>
      <w:r w:rsidRPr="00CF742B">
        <w:rPr>
          <w:rtl/>
        </w:rPr>
        <w:t xml:space="preserve"> ‌كثير</w:t>
      </w:r>
      <w:r w:rsidR="005F7C17">
        <w:rPr>
          <w:rtl/>
        </w:rPr>
        <w:t>ًا</w:t>
      </w:r>
      <w:r w:rsidRPr="00CF742B">
        <w:rPr>
          <w:rtl/>
        </w:rPr>
        <w:t xml:space="preserve"> يختلف باختلاف الأجناس، فمن الأجناس ما يكون ربع العشر فيه غبن</w:t>
      </w:r>
      <w:r w:rsidR="005F7C17">
        <w:rPr>
          <w:rtl/>
        </w:rPr>
        <w:t>ًا</w:t>
      </w:r>
      <w:r w:rsidRPr="00CF742B">
        <w:rPr>
          <w:rtl/>
        </w:rPr>
        <w:t xml:space="preserve"> ‌كثير</w:t>
      </w:r>
      <w:r w:rsidR="005F7C17">
        <w:rPr>
          <w:rtl/>
        </w:rPr>
        <w:t>ًا</w:t>
      </w:r>
      <w:r w:rsidRPr="00CF742B">
        <w:rPr>
          <w:rFonts w:hint="cs"/>
          <w:rtl/>
        </w:rPr>
        <w:t>،</w:t>
      </w:r>
      <w:r w:rsidRPr="00CF742B">
        <w:rPr>
          <w:rtl/>
        </w:rPr>
        <w:t xml:space="preserve"> وهو الحنطة والشعير والذهب والورق</w:t>
      </w:r>
      <w:r w:rsidRPr="00CF742B">
        <w:rPr>
          <w:rFonts w:hint="cs"/>
          <w:rtl/>
        </w:rPr>
        <w:t>،</w:t>
      </w:r>
      <w:r w:rsidRPr="00CF742B">
        <w:rPr>
          <w:rtl/>
        </w:rPr>
        <w:t xml:space="preserve"> ومنها ما يكون نصف العشر فيه غبن</w:t>
      </w:r>
      <w:r w:rsidR="005F7C17">
        <w:rPr>
          <w:rtl/>
        </w:rPr>
        <w:t>ًا</w:t>
      </w:r>
      <w:r w:rsidRPr="00CF742B">
        <w:rPr>
          <w:rtl/>
        </w:rPr>
        <w:t xml:space="preserve"> ‌يسير</w:t>
      </w:r>
      <w:r w:rsidR="005F7C17">
        <w:rPr>
          <w:rtl/>
        </w:rPr>
        <w:t>ًا</w:t>
      </w:r>
      <w:r w:rsidRPr="00CF742B">
        <w:rPr>
          <w:rFonts w:hint="cs"/>
          <w:rtl/>
        </w:rPr>
        <w:t>،</w:t>
      </w:r>
      <w:r w:rsidRPr="00CF742B">
        <w:rPr>
          <w:rtl/>
        </w:rPr>
        <w:t xml:space="preserve"> كالرقيق والجوهر والطرف</w:t>
      </w:r>
      <w:r w:rsidRPr="00CF742B">
        <w:rPr>
          <w:rFonts w:hint="cs"/>
          <w:rtl/>
        </w:rPr>
        <w:t>،</w:t>
      </w:r>
      <w:r w:rsidRPr="00CF742B">
        <w:rPr>
          <w:rtl/>
        </w:rPr>
        <w:t xml:space="preserve"> فلم يجز أن يحد ذلك بقدر مع اختلافه في عرفهم</w:t>
      </w:r>
      <w:r w:rsidRPr="00CF742B">
        <w:rPr>
          <w:rFonts w:hint="cs"/>
          <w:rtl/>
        </w:rPr>
        <w:t>،</w:t>
      </w:r>
      <w:r w:rsidRPr="00CF742B">
        <w:rPr>
          <w:rtl/>
        </w:rPr>
        <w:t xml:space="preserve"> ووجب الرجوع فيه إليهم</w:t>
      </w:r>
      <w:r w:rsidRPr="00CF742B">
        <w:rPr>
          <w:rFonts w:hint="cs"/>
          <w:rtl/>
        </w:rPr>
        <w:t>".</w:t>
      </w:r>
      <w:r w:rsidRPr="00CF742B">
        <w:rPr>
          <w:rStyle w:val="aa"/>
          <w:rtl/>
        </w:rPr>
        <w:t>(</w:t>
      </w:r>
      <w:r w:rsidRPr="00CF742B">
        <w:rPr>
          <w:rStyle w:val="aa"/>
          <w:rtl/>
        </w:rPr>
        <w:footnoteReference w:id="115"/>
      </w:r>
      <w:r w:rsidRPr="00CF742B">
        <w:rPr>
          <w:rStyle w:val="aa"/>
          <w:rtl/>
        </w:rPr>
        <w:t>)</w:t>
      </w:r>
      <w:r w:rsidRPr="00CF742B">
        <w:rPr>
          <w:rtl/>
        </w:rPr>
        <w:t xml:space="preserve"> </w:t>
      </w:r>
    </w:p>
    <w:p w14:paraId="6FA92CD6" w14:textId="29E439DD" w:rsidR="00C742E9" w:rsidRDefault="00C742E9" w:rsidP="00C742E9">
      <w:pPr>
        <w:pStyle w:val="a6"/>
        <w:numPr>
          <w:ilvl w:val="0"/>
          <w:numId w:val="3"/>
        </w:numPr>
        <w:spacing w:after="120"/>
      </w:pPr>
      <w:r w:rsidRPr="00CF742B">
        <w:rPr>
          <w:rFonts w:hint="cs"/>
          <w:rtl/>
        </w:rPr>
        <w:t>ولأن التفاوت الكبير بين أقوال المذاهب واختلافهم في المذهب الواحد بين المسائل المختلفة، فأحيان</w:t>
      </w:r>
      <w:r w:rsidR="005F7C17">
        <w:rPr>
          <w:rFonts w:hint="cs"/>
          <w:rtl/>
        </w:rPr>
        <w:t>ًا</w:t>
      </w:r>
      <w:r w:rsidRPr="00CF742B">
        <w:rPr>
          <w:rFonts w:hint="cs"/>
          <w:rtl/>
        </w:rPr>
        <w:t xml:space="preserve"> يقولون بالثلث وأحيان</w:t>
      </w:r>
      <w:r w:rsidR="005F7C17">
        <w:rPr>
          <w:rFonts w:hint="cs"/>
          <w:rtl/>
        </w:rPr>
        <w:t>ًا</w:t>
      </w:r>
      <w:r w:rsidRPr="00CF742B">
        <w:rPr>
          <w:rFonts w:hint="cs"/>
          <w:rtl/>
        </w:rPr>
        <w:t xml:space="preserve"> بالربع وغير ذلك؛ سببه راجع للعرف، فالتقديرات التي جعلوها فيصل</w:t>
      </w:r>
      <w:r w:rsidR="005F7C17">
        <w:rPr>
          <w:rFonts w:hint="cs"/>
          <w:rtl/>
        </w:rPr>
        <w:t>ًا</w:t>
      </w:r>
      <w:r w:rsidRPr="00CF742B">
        <w:rPr>
          <w:rFonts w:hint="cs"/>
          <w:rtl/>
        </w:rPr>
        <w:t xml:space="preserve"> بين اليسير وضده إنما رجعوا فيها إلى ما ظهر لهم من العرف السائر عندهم، فكان من كمال حرصهم على الضبط والتحرير وألا يدعوا المسألة مطلقة فضفاضة؛ سعوا إلى وضع حد أصله مبني على العرف، يضبط اليسير والكثير ويكون مرجع</w:t>
      </w:r>
      <w:r w:rsidR="005F7C17">
        <w:rPr>
          <w:rFonts w:hint="cs"/>
          <w:rtl/>
        </w:rPr>
        <w:t>ًا</w:t>
      </w:r>
      <w:r w:rsidRPr="00CF742B">
        <w:rPr>
          <w:rFonts w:hint="cs"/>
          <w:rtl/>
        </w:rPr>
        <w:t xml:space="preserve"> واضح</w:t>
      </w:r>
      <w:r w:rsidR="005F7C17">
        <w:rPr>
          <w:rFonts w:hint="cs"/>
          <w:rtl/>
        </w:rPr>
        <w:t>ًا</w:t>
      </w:r>
      <w:r w:rsidRPr="00CF742B">
        <w:rPr>
          <w:rFonts w:hint="cs"/>
          <w:rtl/>
        </w:rPr>
        <w:t xml:space="preserve"> لمن رامه، كما في قول الزركشي عند مسألة انتقاض الطهارة بالنوم</w:t>
      </w:r>
      <w:r w:rsidRPr="00CF742B">
        <w:rPr>
          <w:rtl/>
        </w:rPr>
        <w:t xml:space="preserve">: </w:t>
      </w:r>
      <w:r w:rsidRPr="00CF742B">
        <w:rPr>
          <w:rFonts w:hint="cs"/>
          <w:rtl/>
        </w:rPr>
        <w:t>"</w:t>
      </w:r>
      <w:r w:rsidRPr="00CF742B">
        <w:rPr>
          <w:rtl/>
        </w:rPr>
        <w:t>وإذا سقط الساجد عن هيئته والقائم من قيامه ونحو ذلك بطلت طهارته؛ لأن أهل ‌العرف يعدون ذلك كثير</w:t>
      </w:r>
      <w:r w:rsidR="005F7C17">
        <w:rPr>
          <w:rtl/>
        </w:rPr>
        <w:t>ًا</w:t>
      </w:r>
      <w:r w:rsidRPr="00CF742B">
        <w:rPr>
          <w:rFonts w:hint="cs"/>
          <w:rtl/>
        </w:rPr>
        <w:t>"</w:t>
      </w:r>
      <w:r w:rsidRPr="00CF742B">
        <w:rPr>
          <w:rStyle w:val="aa"/>
          <w:rtl/>
        </w:rPr>
        <w:t>(</w:t>
      </w:r>
      <w:r w:rsidRPr="00CF742B">
        <w:rPr>
          <w:rStyle w:val="aa"/>
          <w:rtl/>
        </w:rPr>
        <w:footnoteReference w:id="116"/>
      </w:r>
      <w:r w:rsidRPr="00CF742B">
        <w:rPr>
          <w:rStyle w:val="aa"/>
          <w:rtl/>
        </w:rPr>
        <w:t>)</w:t>
      </w:r>
      <w:r w:rsidRPr="00CF742B">
        <w:rPr>
          <w:rFonts w:hint="cs"/>
          <w:rtl/>
        </w:rPr>
        <w:t>، فجعل سقوط النائم عن هيئته معيار</w:t>
      </w:r>
      <w:r w:rsidR="005F7C17">
        <w:rPr>
          <w:rFonts w:hint="cs"/>
          <w:rtl/>
        </w:rPr>
        <w:t>ًا</w:t>
      </w:r>
      <w:r w:rsidRPr="00CF742B">
        <w:rPr>
          <w:rFonts w:hint="cs"/>
          <w:rtl/>
        </w:rPr>
        <w:t xml:space="preserve"> للنوم الكثير بناءً على العرف، وليس حد</w:t>
      </w:r>
      <w:r w:rsidR="005F7C17">
        <w:rPr>
          <w:rFonts w:hint="cs"/>
          <w:rtl/>
        </w:rPr>
        <w:t>ًا</w:t>
      </w:r>
      <w:r w:rsidRPr="00CF742B">
        <w:rPr>
          <w:rFonts w:hint="cs"/>
          <w:rtl/>
        </w:rPr>
        <w:t xml:space="preserve"> بذاته.</w:t>
      </w:r>
    </w:p>
    <w:p w14:paraId="4829FE0F" w14:textId="2F1BB5EF" w:rsidR="00C742E9" w:rsidRPr="00CF742B" w:rsidRDefault="00C742E9" w:rsidP="00C742E9">
      <w:pPr>
        <w:pStyle w:val="a6"/>
        <w:spacing w:after="120"/>
        <w:rPr>
          <w:rtl/>
        </w:rPr>
      </w:pPr>
      <w:r w:rsidRPr="003171BC">
        <w:rPr>
          <w:rtl/>
        </w:rPr>
        <w:lastRenderedPageBreak/>
        <w:t xml:space="preserve">ومن </w:t>
      </w:r>
      <w:r>
        <w:rPr>
          <w:rFonts w:hint="cs"/>
          <w:rtl/>
        </w:rPr>
        <w:t>أوضح</w:t>
      </w:r>
      <w:r w:rsidRPr="003171BC">
        <w:rPr>
          <w:rtl/>
        </w:rPr>
        <w:t xml:space="preserve"> ما </w:t>
      </w:r>
      <w:r>
        <w:rPr>
          <w:rFonts w:hint="cs"/>
          <w:rtl/>
        </w:rPr>
        <w:t>يبيّن</w:t>
      </w:r>
      <w:r w:rsidRPr="003171BC">
        <w:rPr>
          <w:rtl/>
        </w:rPr>
        <w:t xml:space="preserve"> هذا: مسألة العيب في الأضحية إذا ذهب بعض الأذن أو الألية أو العين، فإني وجدت التقدير فيها عند الحنفية على ثلاث روايات: بالربع، وبالثلث، وبالنصف، والمسألة واحدة والمذهب واحد، وما ذاك فيما يظهر لي إلا أن مردّ التقدير في حقيقته إلى ما جرى به عرف الناس واستفحشته نفوسهم في عدّ العيب كثير</w:t>
      </w:r>
      <w:r w:rsidR="005F7C17">
        <w:rPr>
          <w:rtl/>
        </w:rPr>
        <w:t>ًا</w:t>
      </w:r>
      <w:r w:rsidRPr="003171BC">
        <w:rPr>
          <w:rtl/>
        </w:rPr>
        <w:t xml:space="preserve"> أو يسير</w:t>
      </w:r>
      <w:r w:rsidR="005F7C17">
        <w:rPr>
          <w:rtl/>
        </w:rPr>
        <w:t>ًا</w:t>
      </w:r>
      <w:r w:rsidRPr="003171BC">
        <w:rPr>
          <w:rtl/>
        </w:rPr>
        <w:t>، فلما اختلفت أنظارهم فيه اختلفت تقديراتهم، ولو كان الحدّ توقيفي</w:t>
      </w:r>
      <w:r w:rsidR="005F7C17">
        <w:rPr>
          <w:rtl/>
        </w:rPr>
        <w:t>ًا</w:t>
      </w:r>
      <w:r w:rsidRPr="003171BC">
        <w:rPr>
          <w:rtl/>
        </w:rPr>
        <w:t xml:space="preserve"> لما وقع فيه هذا التفاوت.</w:t>
      </w:r>
    </w:p>
    <w:p w14:paraId="0E046A15" w14:textId="577B1F6E" w:rsidR="00C742E9" w:rsidRPr="00CF742B" w:rsidRDefault="00C742E9" w:rsidP="00C742E9">
      <w:pPr>
        <w:pStyle w:val="a6"/>
        <w:numPr>
          <w:ilvl w:val="0"/>
          <w:numId w:val="3"/>
        </w:numPr>
        <w:spacing w:after="120"/>
        <w:rPr>
          <w:rtl/>
        </w:rPr>
      </w:pPr>
      <w:r w:rsidRPr="00CF742B">
        <w:rPr>
          <w:rFonts w:hint="cs"/>
          <w:rtl/>
        </w:rPr>
        <w:t>أن جعل العرف مرجع</w:t>
      </w:r>
      <w:r w:rsidR="005F7C17">
        <w:rPr>
          <w:rFonts w:hint="cs"/>
          <w:rtl/>
        </w:rPr>
        <w:t>ًا</w:t>
      </w:r>
      <w:r w:rsidRPr="00CF742B">
        <w:rPr>
          <w:rFonts w:hint="cs"/>
          <w:rtl/>
        </w:rPr>
        <w:t xml:space="preserve"> في تحديد اليسير والكثير عند تطبيقه على النوازل والمسائل المعاصرة؛ أكثر مرونة وانضباط</w:t>
      </w:r>
      <w:r w:rsidR="005F7C17">
        <w:rPr>
          <w:rFonts w:hint="cs"/>
          <w:rtl/>
        </w:rPr>
        <w:t>ًا</w:t>
      </w:r>
      <w:r w:rsidRPr="00CF742B">
        <w:rPr>
          <w:rFonts w:hint="cs"/>
          <w:rtl/>
        </w:rPr>
        <w:t xml:space="preserve"> من القول بالتحديد والتقييد.</w:t>
      </w:r>
    </w:p>
    <w:p w14:paraId="5A6658EE" w14:textId="77777777" w:rsidR="00C742E9" w:rsidRPr="00CF742B" w:rsidRDefault="00C742E9" w:rsidP="00C742E9">
      <w:pPr>
        <w:pStyle w:val="a6"/>
        <w:numPr>
          <w:ilvl w:val="0"/>
          <w:numId w:val="3"/>
        </w:numPr>
        <w:spacing w:after="120"/>
      </w:pPr>
      <w:r w:rsidRPr="00CF742B">
        <w:rPr>
          <w:rFonts w:hint="cs"/>
          <w:rtl/>
        </w:rPr>
        <w:t xml:space="preserve">ولضعف ما استدل به من قال بالتحديد بالربع أو الثلث أو النصف أو الثلاثة، وطرد ذلك على بقية المسائل، ولورود المناقشة على ما استدلوا به </w:t>
      </w:r>
      <w:r w:rsidRPr="00CF742B">
        <w:rPr>
          <w:rFonts w:hint="cs"/>
          <w:b/>
          <w:bCs/>
          <w:rtl/>
        </w:rPr>
        <w:t>ومن هذه المناقشات:</w:t>
      </w:r>
    </w:p>
    <w:p w14:paraId="236E903C" w14:textId="77777777" w:rsidR="00C742E9" w:rsidRPr="00CF742B" w:rsidRDefault="00C742E9" w:rsidP="00C742E9">
      <w:pPr>
        <w:pStyle w:val="a6"/>
        <w:spacing w:after="120"/>
        <w:rPr>
          <w:sz w:val="18"/>
          <w:szCs w:val="20"/>
        </w:rPr>
      </w:pPr>
    </w:p>
    <w:p w14:paraId="63A0053E" w14:textId="34C7DAD0" w:rsidR="00C742E9" w:rsidRPr="00CF742B" w:rsidRDefault="00C742E9" w:rsidP="00C742E9">
      <w:pPr>
        <w:pStyle w:val="a6"/>
        <w:numPr>
          <w:ilvl w:val="0"/>
          <w:numId w:val="4"/>
        </w:numPr>
        <w:spacing w:after="120"/>
      </w:pPr>
      <w:r w:rsidRPr="00CF742B">
        <w:rPr>
          <w:rFonts w:hint="cs"/>
          <w:rtl/>
        </w:rPr>
        <w:t>أن القائلين بالثلث والربع ونحوها إنما استدلوا بأدلة خاصة في مسألة معينة، وبعضها حادثة عين، ثم قاسوا عليها بقية المسائل، وهو قياس غير منضبط، ولا يصح طرده على جميع المسائل، فدليل الثلث مثل</w:t>
      </w:r>
      <w:r w:rsidR="005F7C17">
        <w:rPr>
          <w:rFonts w:hint="cs"/>
          <w:rtl/>
        </w:rPr>
        <w:t>ًا</w:t>
      </w:r>
      <w:r w:rsidRPr="00CF742B">
        <w:rPr>
          <w:rFonts w:hint="cs"/>
          <w:rtl/>
        </w:rPr>
        <w:t xml:space="preserve"> إنما هو خاص بالوصية، لا يصح تنزيله على مسائل العبادات، ومثله القول بالربع بدليل المسح على الناصية، أو الثلاثة لأنه ورد في مسائل خاصة كصيام الكفارة والمسح على الخفين للمسافر، لا تُجعل دليل</w:t>
      </w:r>
      <w:r w:rsidR="005F7C17">
        <w:rPr>
          <w:rFonts w:hint="cs"/>
          <w:rtl/>
        </w:rPr>
        <w:t>ًا</w:t>
      </w:r>
      <w:r w:rsidRPr="00CF742B">
        <w:rPr>
          <w:rFonts w:hint="cs"/>
          <w:rtl/>
        </w:rPr>
        <w:t xml:space="preserve"> في ضبط غيرها بها، وإلا لصح الاستدلال بما ورد في الشريعة بفعله مرة كالحج وكثير من الأذكار، أو بالعدد أربعة كما في ركعات الصلوات.</w:t>
      </w:r>
    </w:p>
    <w:p w14:paraId="0CF60540" w14:textId="3BC0966F" w:rsidR="00C742E9" w:rsidRPr="00CF742B" w:rsidRDefault="00C742E9" w:rsidP="00C742E9">
      <w:pPr>
        <w:pStyle w:val="a6"/>
        <w:numPr>
          <w:ilvl w:val="0"/>
          <w:numId w:val="4"/>
        </w:numPr>
        <w:spacing w:after="120"/>
      </w:pPr>
      <w:r w:rsidRPr="00CF742B">
        <w:rPr>
          <w:rFonts w:hint="cs"/>
          <w:rtl/>
        </w:rPr>
        <w:t>أن التحديد بالربع والثلث والنصف لا يمكن الأخذ به في كل مسألة، كما في مسألة العيب في المبيع ومثله الغبن إذا كان يبلغ الثلث أو الربع فضل</w:t>
      </w:r>
      <w:r w:rsidR="005F7C17">
        <w:rPr>
          <w:rFonts w:hint="cs"/>
          <w:rtl/>
        </w:rPr>
        <w:t>ًا</w:t>
      </w:r>
      <w:r w:rsidRPr="00CF742B">
        <w:rPr>
          <w:rFonts w:hint="cs"/>
          <w:rtl/>
        </w:rPr>
        <w:t xml:space="preserve"> عن النصف ألا يعد ذلك ظلم</w:t>
      </w:r>
      <w:r w:rsidR="005F7C17">
        <w:rPr>
          <w:rFonts w:hint="cs"/>
          <w:rtl/>
        </w:rPr>
        <w:t>ًا</w:t>
      </w:r>
      <w:r w:rsidRPr="00CF742B">
        <w:rPr>
          <w:rFonts w:hint="cs"/>
          <w:rtl/>
        </w:rPr>
        <w:t xml:space="preserve"> وضرر</w:t>
      </w:r>
      <w:r w:rsidR="005F7C17">
        <w:rPr>
          <w:rFonts w:hint="cs"/>
          <w:rtl/>
        </w:rPr>
        <w:t>ًا</w:t>
      </w:r>
      <w:r w:rsidRPr="00CF742B">
        <w:rPr>
          <w:rFonts w:hint="cs"/>
          <w:rtl/>
        </w:rPr>
        <w:t xml:space="preserve"> كثير</w:t>
      </w:r>
      <w:r w:rsidR="005F7C17">
        <w:rPr>
          <w:rFonts w:hint="cs"/>
          <w:rtl/>
        </w:rPr>
        <w:t>ًا</w:t>
      </w:r>
      <w:r w:rsidRPr="00CF742B">
        <w:rPr>
          <w:rFonts w:hint="cs"/>
          <w:rtl/>
        </w:rPr>
        <w:t>، وخسارة فادحة!</w:t>
      </w:r>
    </w:p>
    <w:p w14:paraId="5534270A" w14:textId="59F699FA" w:rsidR="00C742E9" w:rsidRPr="00CF742B" w:rsidRDefault="00C742E9" w:rsidP="00C742E9">
      <w:pPr>
        <w:pStyle w:val="a6"/>
        <w:numPr>
          <w:ilvl w:val="0"/>
          <w:numId w:val="4"/>
        </w:numPr>
        <w:spacing w:after="120"/>
      </w:pPr>
      <w:r w:rsidRPr="00CF742B">
        <w:rPr>
          <w:rFonts w:hint="cs"/>
          <w:rtl/>
        </w:rPr>
        <w:t>أن كثير</w:t>
      </w:r>
      <w:r w:rsidR="005F7C17">
        <w:rPr>
          <w:rFonts w:hint="cs"/>
          <w:rtl/>
        </w:rPr>
        <w:t>ًا</w:t>
      </w:r>
      <w:r w:rsidRPr="00CF742B">
        <w:rPr>
          <w:rFonts w:hint="cs"/>
          <w:rtl/>
        </w:rPr>
        <w:t xml:space="preserve"> من المسائل ليس لها ثلث ولا ربع ولا عدد يُقدّر به، أو لا يمكن تمييز ثلثها وربعها من عشرها ونصفها، لأنها لا تقبل القياس والعد، كالمسائل المتعلقة بالموالاة. </w:t>
      </w:r>
    </w:p>
    <w:p w14:paraId="4CCA8CB7" w14:textId="77777777" w:rsidR="00C742E9" w:rsidRPr="00CF742B" w:rsidRDefault="00C742E9" w:rsidP="00C742E9">
      <w:pPr>
        <w:pStyle w:val="a6"/>
        <w:numPr>
          <w:ilvl w:val="0"/>
          <w:numId w:val="4"/>
        </w:numPr>
        <w:spacing w:after="120"/>
        <w:rPr>
          <w:rtl/>
        </w:rPr>
      </w:pPr>
      <w:r w:rsidRPr="00CF742B">
        <w:rPr>
          <w:rFonts w:hint="cs"/>
          <w:rtl/>
        </w:rPr>
        <w:lastRenderedPageBreak/>
        <w:t>وكذلك فإن ت</w:t>
      </w:r>
      <w:r w:rsidRPr="00CF742B">
        <w:rPr>
          <w:rtl/>
        </w:rPr>
        <w:t>حديد</w:t>
      </w:r>
      <w:r w:rsidRPr="00CF742B">
        <w:rPr>
          <w:rFonts w:hint="cs"/>
          <w:rtl/>
        </w:rPr>
        <w:t xml:space="preserve"> اليسير من الكثير</w:t>
      </w:r>
      <w:r w:rsidRPr="00CF742B">
        <w:rPr>
          <w:rtl/>
        </w:rPr>
        <w:t xml:space="preserve"> </w:t>
      </w:r>
      <w:r w:rsidRPr="00CF742B">
        <w:rPr>
          <w:rFonts w:hint="cs"/>
          <w:rtl/>
        </w:rPr>
        <w:t>ب</w:t>
      </w:r>
      <w:r w:rsidRPr="00CF742B">
        <w:rPr>
          <w:rtl/>
        </w:rPr>
        <w:t>الربع</w:t>
      </w:r>
      <w:r w:rsidRPr="00CF742B">
        <w:rPr>
          <w:rFonts w:hint="cs"/>
          <w:rtl/>
        </w:rPr>
        <w:t xml:space="preserve"> والنصف</w:t>
      </w:r>
      <w:r w:rsidRPr="00CF742B">
        <w:rPr>
          <w:rtl/>
        </w:rPr>
        <w:t xml:space="preserve"> ليس له أصل </w:t>
      </w:r>
      <w:r w:rsidRPr="00CF742B">
        <w:rPr>
          <w:rFonts w:hint="cs"/>
          <w:rtl/>
        </w:rPr>
        <w:t xml:space="preserve">صحيح </w:t>
      </w:r>
      <w:r w:rsidRPr="00CF742B">
        <w:rPr>
          <w:rtl/>
        </w:rPr>
        <w:t>من كتاب ولا سنة</w:t>
      </w:r>
      <w:r w:rsidRPr="00CF742B">
        <w:rPr>
          <w:rFonts w:hint="cs"/>
          <w:rtl/>
        </w:rPr>
        <w:t>.</w:t>
      </w:r>
      <w:r w:rsidRPr="00CF742B">
        <w:rPr>
          <w:rStyle w:val="aa"/>
          <w:rtl/>
        </w:rPr>
        <w:t>(</w:t>
      </w:r>
      <w:r w:rsidRPr="00CF742B">
        <w:rPr>
          <w:rStyle w:val="aa"/>
          <w:rtl/>
        </w:rPr>
        <w:footnoteReference w:id="117"/>
      </w:r>
      <w:r w:rsidRPr="00CF742B">
        <w:rPr>
          <w:rStyle w:val="aa"/>
          <w:rtl/>
        </w:rPr>
        <w:t>)</w:t>
      </w:r>
      <w:r w:rsidRPr="00CF742B">
        <w:rPr>
          <w:rtl/>
        </w:rPr>
        <w:t xml:space="preserve"> </w:t>
      </w:r>
    </w:p>
    <w:p w14:paraId="11851968" w14:textId="77777777" w:rsidR="00C742E9" w:rsidRPr="00CF742B" w:rsidRDefault="00C742E9" w:rsidP="00C742E9">
      <w:pPr>
        <w:pStyle w:val="a6"/>
        <w:numPr>
          <w:ilvl w:val="0"/>
          <w:numId w:val="4"/>
        </w:numPr>
        <w:spacing w:after="120"/>
      </w:pPr>
      <w:r w:rsidRPr="00CF742B">
        <w:rPr>
          <w:rFonts w:hint="cs"/>
          <w:rtl/>
        </w:rPr>
        <w:t xml:space="preserve">كما أن </w:t>
      </w:r>
      <w:r w:rsidRPr="00CF742B">
        <w:rPr>
          <w:rtl/>
        </w:rPr>
        <w:t>الاستدلال بأن ‌الربع يقع عليه اسم الكل غير صحيح؛ فإن ذلك لا يتقيد بالربع، وإنما هو مجاز يتناول الكثير والقليل</w:t>
      </w:r>
      <w:r w:rsidRPr="00CF742B">
        <w:rPr>
          <w:rFonts w:hint="cs"/>
          <w:rtl/>
        </w:rPr>
        <w:t>.</w:t>
      </w:r>
      <w:r w:rsidRPr="00CF742B">
        <w:rPr>
          <w:rStyle w:val="aa"/>
          <w:rtl/>
        </w:rPr>
        <w:t>(</w:t>
      </w:r>
      <w:r w:rsidRPr="00CF742B">
        <w:rPr>
          <w:rStyle w:val="aa"/>
          <w:rtl/>
        </w:rPr>
        <w:footnoteReference w:id="118"/>
      </w:r>
      <w:r w:rsidRPr="00CF742B">
        <w:rPr>
          <w:rStyle w:val="aa"/>
          <w:rtl/>
        </w:rPr>
        <w:t>)</w:t>
      </w:r>
      <w:r w:rsidRPr="00CF742B">
        <w:rPr>
          <w:rtl/>
        </w:rPr>
        <w:t xml:space="preserve"> </w:t>
      </w:r>
    </w:p>
    <w:p w14:paraId="3A2C64DA" w14:textId="30269120" w:rsidR="00C742E9" w:rsidRDefault="00C742E9" w:rsidP="00C742E9">
      <w:pPr>
        <w:pStyle w:val="a6"/>
        <w:numPr>
          <w:ilvl w:val="0"/>
          <w:numId w:val="4"/>
        </w:numPr>
        <w:spacing w:after="120"/>
      </w:pPr>
      <w:r w:rsidRPr="00CF742B">
        <w:rPr>
          <w:rFonts w:hint="cs"/>
          <w:rtl/>
        </w:rPr>
        <w:t>وكذا فإن من التقديرات التي جعلوها حد</w:t>
      </w:r>
      <w:r w:rsidR="005F7C17">
        <w:rPr>
          <w:rFonts w:hint="cs"/>
          <w:rtl/>
        </w:rPr>
        <w:t>ًا</w:t>
      </w:r>
      <w:r w:rsidRPr="00CF742B">
        <w:rPr>
          <w:rFonts w:hint="cs"/>
          <w:rtl/>
        </w:rPr>
        <w:t xml:space="preserve"> فاصل</w:t>
      </w:r>
      <w:r w:rsidR="005F7C17">
        <w:rPr>
          <w:rFonts w:hint="cs"/>
          <w:rtl/>
        </w:rPr>
        <w:t>ًا</w:t>
      </w:r>
      <w:r w:rsidRPr="00CF742B">
        <w:rPr>
          <w:rFonts w:hint="cs"/>
          <w:rtl/>
        </w:rPr>
        <w:t xml:space="preserve"> بين اليسير والكثير إنما هي اجتهادية قد تصلح لحال دون حال، كما في تقديرهم حد الموالاة بين غسل الأعضاء هو جفاف العضو المغسول، وهذا غير دقيق ولا يصلح أن يكون حد</w:t>
      </w:r>
      <w:r w:rsidR="005F7C17">
        <w:rPr>
          <w:rFonts w:hint="cs"/>
          <w:rtl/>
        </w:rPr>
        <w:t>ًا</w:t>
      </w:r>
      <w:r w:rsidRPr="00CF742B">
        <w:rPr>
          <w:rFonts w:hint="cs"/>
          <w:rtl/>
        </w:rPr>
        <w:t xml:space="preserve"> مطلق</w:t>
      </w:r>
      <w:r w:rsidR="005F7C17">
        <w:rPr>
          <w:rFonts w:hint="cs"/>
          <w:rtl/>
        </w:rPr>
        <w:t>ًا</w:t>
      </w:r>
      <w:r w:rsidRPr="00CF742B">
        <w:rPr>
          <w:rFonts w:hint="cs"/>
          <w:rtl/>
        </w:rPr>
        <w:t xml:space="preserve"> لعدم انضباطه، قال</w:t>
      </w:r>
      <w:r w:rsidRPr="00CF742B">
        <w:rPr>
          <w:rtl/>
        </w:rPr>
        <w:t xml:space="preserve"> ابن المنذر: "وليس مع من جعل حد ذلك الجفوف حجة، وذلك يختلف في الصيف والشتاء"</w:t>
      </w:r>
      <w:r w:rsidRPr="00CF742B">
        <w:rPr>
          <w:rStyle w:val="aa"/>
          <w:rtl/>
        </w:rPr>
        <w:t>(</w:t>
      </w:r>
      <w:r w:rsidRPr="00CF742B">
        <w:rPr>
          <w:rStyle w:val="aa"/>
          <w:rtl/>
        </w:rPr>
        <w:footnoteReference w:id="119"/>
      </w:r>
      <w:r w:rsidRPr="00CF742B">
        <w:rPr>
          <w:rStyle w:val="aa"/>
          <w:rtl/>
        </w:rPr>
        <w:t>)</w:t>
      </w:r>
      <w:r w:rsidRPr="00CF742B">
        <w:rPr>
          <w:rFonts w:hint="cs"/>
          <w:rtl/>
        </w:rPr>
        <w:t>،  لكن قد يقال بأن هذه المسألة وأشباهها من المسائل التي جعل لها بعض العلماء قدر</w:t>
      </w:r>
      <w:r w:rsidR="005F7C17">
        <w:rPr>
          <w:rFonts w:hint="cs"/>
          <w:rtl/>
        </w:rPr>
        <w:t>ًا</w:t>
      </w:r>
      <w:r w:rsidRPr="00CF742B">
        <w:rPr>
          <w:rFonts w:hint="cs"/>
          <w:rtl/>
        </w:rPr>
        <w:t xml:space="preserve"> فاصل</w:t>
      </w:r>
      <w:r w:rsidR="005F7C17">
        <w:rPr>
          <w:rFonts w:hint="cs"/>
          <w:rtl/>
        </w:rPr>
        <w:t>ًا</w:t>
      </w:r>
      <w:r w:rsidRPr="00CF742B">
        <w:rPr>
          <w:rFonts w:hint="cs"/>
          <w:rtl/>
        </w:rPr>
        <w:t xml:space="preserve">؛ أمثلة للتقريب والتمثيل أصلح منها للتحديد كما قال الرافعي في معرض كلامه عن حد الكلام اليسير في الصلاة: </w:t>
      </w:r>
      <w:r w:rsidRPr="00CF742B">
        <w:rPr>
          <w:rtl/>
        </w:rPr>
        <w:t>«وما الحد الفارق بين القليل والكثير</w:t>
      </w:r>
      <w:r w:rsidRPr="00CF742B">
        <w:rPr>
          <w:rFonts w:hint="cs"/>
          <w:rtl/>
        </w:rPr>
        <w:t>،</w:t>
      </w:r>
      <w:r w:rsidRPr="00CF742B">
        <w:rPr>
          <w:rtl/>
        </w:rPr>
        <w:t xml:space="preserve"> حك</w:t>
      </w:r>
      <w:r w:rsidRPr="00CF742B">
        <w:rPr>
          <w:rFonts w:hint="cs"/>
          <w:rtl/>
        </w:rPr>
        <w:t>ي</w:t>
      </w:r>
      <w:r w:rsidRPr="00CF742B">
        <w:rPr>
          <w:rtl/>
        </w:rPr>
        <w:t xml:space="preserve"> في البيان عن الشيخ </w:t>
      </w:r>
      <w:r w:rsidRPr="00CF742B">
        <w:rPr>
          <w:rFonts w:hint="cs"/>
          <w:rtl/>
        </w:rPr>
        <w:t>أ</w:t>
      </w:r>
      <w:r w:rsidRPr="00CF742B">
        <w:rPr>
          <w:rtl/>
        </w:rPr>
        <w:t>بي حامد</w:t>
      </w:r>
      <w:r w:rsidRPr="00CF742B">
        <w:rPr>
          <w:rFonts w:hint="cs"/>
          <w:rtl/>
        </w:rPr>
        <w:t>:"أ</w:t>
      </w:r>
      <w:r w:rsidRPr="00CF742B">
        <w:rPr>
          <w:rtl/>
        </w:rPr>
        <w:t>ن الكلام اليسير حده الكلمة والكلمتان والثلاث ونحوها</w:t>
      </w:r>
      <w:r w:rsidRPr="00CF742B">
        <w:rPr>
          <w:rFonts w:hint="cs"/>
          <w:rtl/>
        </w:rPr>
        <w:t>"،</w:t>
      </w:r>
      <w:r w:rsidRPr="00CF742B">
        <w:rPr>
          <w:rtl/>
        </w:rPr>
        <w:t xml:space="preserve"> وعن ابن الصباغ</w:t>
      </w:r>
      <w:r w:rsidRPr="00CF742B">
        <w:rPr>
          <w:rFonts w:hint="cs"/>
          <w:rtl/>
        </w:rPr>
        <w:t>:</w:t>
      </w:r>
      <w:r w:rsidRPr="00CF742B">
        <w:rPr>
          <w:rtl/>
        </w:rPr>
        <w:t xml:space="preserve"> </w:t>
      </w:r>
      <w:r w:rsidRPr="00CF742B">
        <w:rPr>
          <w:rFonts w:hint="cs"/>
          <w:rtl/>
        </w:rPr>
        <w:t>"أ</w:t>
      </w:r>
      <w:r w:rsidRPr="00CF742B">
        <w:rPr>
          <w:rtl/>
        </w:rPr>
        <w:t xml:space="preserve">ن اليسير هو القدر الذى تكلم به النبي </w:t>
      </w:r>
      <w:r w:rsidR="000B7965">
        <w:rPr>
          <w:rFonts w:hint="cs"/>
          <w:rtl/>
        </w:rPr>
        <w:t>صلى الله عليه وسلم</w:t>
      </w:r>
      <w:r w:rsidRPr="00CF742B">
        <w:rPr>
          <w:rtl/>
        </w:rPr>
        <w:t xml:space="preserve"> في حديث ذ</w:t>
      </w:r>
      <w:r w:rsidRPr="00CF742B">
        <w:rPr>
          <w:rFonts w:hint="cs"/>
          <w:rtl/>
        </w:rPr>
        <w:t>ي</w:t>
      </w:r>
      <w:r w:rsidRPr="00CF742B">
        <w:rPr>
          <w:rtl/>
        </w:rPr>
        <w:t xml:space="preserve"> اليدين</w:t>
      </w:r>
      <w:r w:rsidRPr="00CF742B">
        <w:rPr>
          <w:rFonts w:hint="cs"/>
          <w:rtl/>
        </w:rPr>
        <w:t>"،</w:t>
      </w:r>
      <w:r w:rsidRPr="00CF742B">
        <w:rPr>
          <w:rtl/>
        </w:rPr>
        <w:t xml:space="preserve"> وكل واحد منهما للتمثيل </w:t>
      </w:r>
      <w:r w:rsidRPr="00CF742B">
        <w:rPr>
          <w:rFonts w:hint="cs"/>
          <w:rtl/>
        </w:rPr>
        <w:t>أ</w:t>
      </w:r>
      <w:r w:rsidRPr="00CF742B">
        <w:rPr>
          <w:rtl/>
        </w:rPr>
        <w:t>صلح منه للتحديد</w:t>
      </w:r>
      <w:r w:rsidRPr="00CF742B">
        <w:rPr>
          <w:rFonts w:hint="cs"/>
          <w:rtl/>
        </w:rPr>
        <w:t>،</w:t>
      </w:r>
      <w:r w:rsidRPr="00CF742B">
        <w:rPr>
          <w:rtl/>
        </w:rPr>
        <w:t xml:space="preserve"> وال</w:t>
      </w:r>
      <w:r w:rsidRPr="00CF742B">
        <w:rPr>
          <w:rFonts w:hint="cs"/>
          <w:rtl/>
        </w:rPr>
        <w:t>أ</w:t>
      </w:r>
      <w:r w:rsidRPr="00CF742B">
        <w:rPr>
          <w:rtl/>
        </w:rPr>
        <w:t>ظهر فيه وف</w:t>
      </w:r>
      <w:r w:rsidRPr="00CF742B">
        <w:rPr>
          <w:rFonts w:hint="cs"/>
          <w:rtl/>
        </w:rPr>
        <w:t>ي</w:t>
      </w:r>
      <w:r w:rsidRPr="00CF742B">
        <w:rPr>
          <w:rtl/>
        </w:rPr>
        <w:t xml:space="preserve"> نظائره الرجوع </w:t>
      </w:r>
      <w:r w:rsidRPr="00CF742B">
        <w:rPr>
          <w:rFonts w:hint="cs"/>
          <w:rtl/>
        </w:rPr>
        <w:t>إلى</w:t>
      </w:r>
      <w:r w:rsidRPr="00CF742B">
        <w:rPr>
          <w:rtl/>
        </w:rPr>
        <w:t xml:space="preserve"> العادة»</w:t>
      </w:r>
      <w:r w:rsidRPr="00CF742B">
        <w:rPr>
          <w:rFonts w:hint="cs"/>
          <w:rtl/>
        </w:rPr>
        <w:t>.</w:t>
      </w:r>
      <w:r w:rsidRPr="00CF742B">
        <w:rPr>
          <w:rStyle w:val="aa"/>
          <w:rtl/>
        </w:rPr>
        <w:t>(</w:t>
      </w:r>
      <w:r w:rsidRPr="00CF742B">
        <w:rPr>
          <w:rStyle w:val="aa"/>
          <w:rtl/>
        </w:rPr>
        <w:footnoteReference w:id="120"/>
      </w:r>
      <w:r w:rsidRPr="00CF742B">
        <w:rPr>
          <w:rStyle w:val="aa"/>
          <w:rtl/>
        </w:rPr>
        <w:t>)</w:t>
      </w:r>
    </w:p>
    <w:p w14:paraId="5425D044" w14:textId="77777777" w:rsidR="00C742E9" w:rsidRDefault="00C742E9" w:rsidP="00C742E9">
      <w:pPr>
        <w:spacing w:after="120"/>
        <w:ind w:firstLine="657"/>
        <w:rPr>
          <w:rtl/>
        </w:rPr>
      </w:pPr>
      <w:r w:rsidRPr="000D0F80">
        <w:rPr>
          <w:rtl/>
        </w:rPr>
        <w:t xml:space="preserve">ولما كان الترجيح المتقدم إنما هو في ضبط اليسير وتمييزه من الكثير؛ </w:t>
      </w:r>
      <w:r w:rsidRPr="009538D5">
        <w:rPr>
          <w:rtl/>
        </w:rPr>
        <w:t xml:space="preserve">فإن الاستقراء دلّ على أن ما يرد عليه وصف اليسير من الفروع الفقهية ليس على سَنَنٍ واحد، </w:t>
      </w:r>
      <w:r>
        <w:rPr>
          <w:rFonts w:hint="cs"/>
          <w:rtl/>
        </w:rPr>
        <w:t>وإنما</w:t>
      </w:r>
      <w:r w:rsidRPr="009538D5">
        <w:rPr>
          <w:rtl/>
        </w:rPr>
        <w:t xml:space="preserve"> هو على ضربين:</w:t>
      </w:r>
    </w:p>
    <w:p w14:paraId="49B3AF12" w14:textId="77777777" w:rsidR="00C742E9" w:rsidRDefault="00C742E9" w:rsidP="00C742E9">
      <w:pPr>
        <w:spacing w:after="120"/>
        <w:rPr>
          <w:rtl/>
        </w:rPr>
      </w:pPr>
      <w:r w:rsidRPr="00787402">
        <w:rPr>
          <w:b/>
          <w:bCs/>
          <w:rtl/>
        </w:rPr>
        <w:lastRenderedPageBreak/>
        <w:t>الضرب الأول:</w:t>
      </w:r>
      <w:r>
        <w:rPr>
          <w:rtl/>
        </w:rPr>
        <w:t xml:space="preserve"> ما عُلِّق الحكم فيه بالق</w:t>
      </w:r>
      <w:r>
        <w:rPr>
          <w:rFonts w:hint="cs"/>
          <w:rtl/>
        </w:rPr>
        <w:t>َ</w:t>
      </w:r>
      <w:r>
        <w:rPr>
          <w:rtl/>
        </w:rPr>
        <w:t>د</w:t>
      </w:r>
      <w:r>
        <w:rPr>
          <w:rFonts w:hint="cs"/>
          <w:rtl/>
        </w:rPr>
        <w:t>ْ</w:t>
      </w:r>
      <w:r>
        <w:rPr>
          <w:rtl/>
        </w:rPr>
        <w:t>ر، وهو ما رتّ</w:t>
      </w:r>
      <w:r>
        <w:rPr>
          <w:rFonts w:hint="cs"/>
          <w:rtl/>
        </w:rPr>
        <w:t>َ</w:t>
      </w:r>
      <w:r>
        <w:rPr>
          <w:rtl/>
        </w:rPr>
        <w:t>ب الشارع الحكم فيه على مقدارٍ من الفعل، فتتصور فيه القلة والكثرة، ويفتقر إلى حدٍّ يفصل بينهما، وهذا هو محل الضابط المتقدم، ومرجعه العرف على ما رجّ</w:t>
      </w:r>
      <w:r>
        <w:rPr>
          <w:rFonts w:hint="cs"/>
          <w:rtl/>
        </w:rPr>
        <w:t>َ</w:t>
      </w:r>
      <w:r>
        <w:rPr>
          <w:rtl/>
        </w:rPr>
        <w:t>حته، كيسير النجاسة، والحركة اليسيرة في الصلاة، والنوم اليسير، وانكشاف اليسير من العورة، ونحوها</w:t>
      </w:r>
      <w:r>
        <w:rPr>
          <w:rFonts w:hint="cs"/>
          <w:rtl/>
        </w:rPr>
        <w:t>.</w:t>
      </w:r>
    </w:p>
    <w:p w14:paraId="0D5034BC" w14:textId="7B63BCAF" w:rsidR="00C742E9" w:rsidRDefault="00C742E9" w:rsidP="00C742E9">
      <w:pPr>
        <w:spacing w:after="120"/>
        <w:rPr>
          <w:rtl/>
        </w:rPr>
      </w:pPr>
      <w:r w:rsidRPr="00787402">
        <w:rPr>
          <w:b/>
          <w:bCs/>
          <w:rtl/>
        </w:rPr>
        <w:t>الضرب الثاني:</w:t>
      </w:r>
      <w:r>
        <w:rPr>
          <w:rtl/>
        </w:rPr>
        <w:t xml:space="preserve"> ما عُلِّق الحكم فيه بالمسمّ</w:t>
      </w:r>
      <w:r>
        <w:rPr>
          <w:rFonts w:hint="cs"/>
          <w:rtl/>
        </w:rPr>
        <w:t>َ</w:t>
      </w:r>
      <w:r>
        <w:rPr>
          <w:rtl/>
        </w:rPr>
        <w:t>ى، وهو ما رتّ</w:t>
      </w:r>
      <w:r>
        <w:rPr>
          <w:rFonts w:hint="cs"/>
          <w:rtl/>
        </w:rPr>
        <w:t>َ</w:t>
      </w:r>
      <w:r>
        <w:rPr>
          <w:rtl/>
        </w:rPr>
        <w:t xml:space="preserve">ب الشارع الحكم فيه على وقوع اسم الفعل، فمتى صدق الاسم على الفعل ثبت الحكم، ولا فرق بين قليله وكثيره، ولا يُطلب لليسير فيه ضابط؛ إذ ليس المقصود فيه تقدير المقدار، وإنما تحقق الاسم، كوجوب الفدية على المحرم بما يقع عليه اسم التطيب وإن قلّ، وكتغطيته رأسه، وكخروج المعتكف من المسجد لغير عذر، وكالخارج من السبيلين، </w:t>
      </w:r>
      <w:r w:rsidR="007162FF" w:rsidRPr="007162FF">
        <w:rPr>
          <w:rtl/>
        </w:rPr>
        <w:t>كما هو مقرر في مواضعه من كتب الفقه</w:t>
      </w:r>
      <w:r w:rsidR="007162FF">
        <w:rPr>
          <w:rFonts w:hint="cs"/>
          <w:rtl/>
        </w:rPr>
        <w:t>.</w:t>
      </w:r>
    </w:p>
    <w:p w14:paraId="5903D90D" w14:textId="75D22A7E" w:rsidR="00C742E9" w:rsidRDefault="00C742E9" w:rsidP="00C742E9">
      <w:pPr>
        <w:spacing w:after="120"/>
        <w:ind w:firstLine="515"/>
        <w:rPr>
          <w:rtl/>
        </w:rPr>
      </w:pPr>
      <w:r>
        <w:rPr>
          <w:rtl/>
        </w:rPr>
        <w:t>ولا يعني هذا إلغاء العرف في الضرب الثاني، فإنه مرجعٌ فيه أيض</w:t>
      </w:r>
      <w:r w:rsidR="005F7C17">
        <w:rPr>
          <w:rtl/>
        </w:rPr>
        <w:t>ًا</w:t>
      </w:r>
      <w:r>
        <w:rPr>
          <w:rtl/>
        </w:rPr>
        <w:t>، غير أن عمله فيه في تحقق الاسم لا في تمييز اليسير من الكثير، كقولهم في الخف: ما دام اسمه باقي</w:t>
      </w:r>
      <w:r w:rsidR="005F7C17">
        <w:rPr>
          <w:rtl/>
        </w:rPr>
        <w:t>ًا</w:t>
      </w:r>
      <w:r>
        <w:rPr>
          <w:rtl/>
        </w:rPr>
        <w:t>، وفي الاعتكاف: ما يسمى عكوف</w:t>
      </w:r>
      <w:r w:rsidR="005F7C17">
        <w:rPr>
          <w:rtl/>
        </w:rPr>
        <w:t>ًا</w:t>
      </w:r>
      <w:r>
        <w:rPr>
          <w:rtl/>
        </w:rPr>
        <w:t>؛ فالقلة فيه لا تغيّر الحكم، وغاية أثرها أن تُخرج الفعل عن مسماه، فإذا خرج عنه سقط الحكم لانتفاء الاسم لا لكون الفعل يسير</w:t>
      </w:r>
      <w:r w:rsidR="005F7C17">
        <w:rPr>
          <w:rtl/>
        </w:rPr>
        <w:t>ًا</w:t>
      </w:r>
      <w:r>
        <w:rPr>
          <w:rtl/>
        </w:rPr>
        <w:t>.</w:t>
      </w:r>
    </w:p>
    <w:p w14:paraId="03AAAFE1" w14:textId="32A7DA31" w:rsidR="00C742E9" w:rsidRPr="00CF742B" w:rsidRDefault="00C742E9" w:rsidP="00C742E9">
      <w:pPr>
        <w:spacing w:after="120"/>
      </w:pPr>
      <w:r>
        <w:rPr>
          <w:rtl/>
        </w:rPr>
        <w:t xml:space="preserve">وبهذا التفريق ينضبط الباب، ويُعلم أن ما جاء في بعض </w:t>
      </w:r>
      <w:r w:rsidR="00655BC4">
        <w:rPr>
          <w:rFonts w:hint="cs"/>
          <w:rtl/>
        </w:rPr>
        <w:t>الفروع الفقهية</w:t>
      </w:r>
      <w:r>
        <w:rPr>
          <w:rtl/>
        </w:rPr>
        <w:t xml:space="preserve"> من أن اليسير لا أثر فيه ليس نقض</w:t>
      </w:r>
      <w:r w:rsidR="005F7C17">
        <w:rPr>
          <w:rtl/>
        </w:rPr>
        <w:t>ًا</w:t>
      </w:r>
      <w:r>
        <w:rPr>
          <w:rtl/>
        </w:rPr>
        <w:t xml:space="preserve"> للضابط المتقدم، وإنما هو لأن تلك المسائل من الضرب الثاني الذي لا مدخل للتقدير فيه.</w:t>
      </w:r>
    </w:p>
    <w:p w14:paraId="294D02F7" w14:textId="77777777" w:rsidR="00C742E9" w:rsidRPr="00C742E9" w:rsidRDefault="00C742E9"/>
    <w:sectPr w:rsidR="00C742E9" w:rsidRPr="00C742E9" w:rsidSect="000B7965">
      <w:footerReference w:type="default" r:id="rId8"/>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EB9B" w14:textId="77777777" w:rsidR="00301EC0" w:rsidRDefault="00301EC0" w:rsidP="00C742E9">
      <w:r>
        <w:separator/>
      </w:r>
    </w:p>
  </w:endnote>
  <w:endnote w:type="continuationSeparator" w:id="0">
    <w:p w14:paraId="555DF176" w14:textId="77777777" w:rsidR="00301EC0" w:rsidRDefault="00301EC0" w:rsidP="00C74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raditional Arabic">
    <w:altName w:val="Sakkal Majalla"/>
    <w:panose1 w:val="02020603050405020304"/>
    <w:charset w:val="00"/>
    <w:family w:val="roman"/>
    <w:pitch w:val="variable"/>
    <w:sig w:usb0="00002003" w:usb1="00000000" w:usb2="00000008" w:usb3="00000000" w:csb0="0000004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L-Mateen">
    <w:altName w:val="Arial"/>
    <w:panose1 w:val="00000000000000000000"/>
    <w:charset w:val="B2"/>
    <w:family w:val="auto"/>
    <w:pitch w:val="variable"/>
    <w:sig w:usb0="00002001" w:usb1="00000000" w:usb2="00000000" w:usb3="00000000" w:csb0="00000040"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EEAA" w14:textId="70EB01A1" w:rsidR="009E34E6" w:rsidRDefault="009E34E6" w:rsidP="009E34E6">
    <w:pPr>
      <w:ind w:right="-851"/>
    </w:pPr>
    <w:r>
      <w:rPr>
        <w:noProof/>
      </w:rPr>
      <mc:AlternateContent>
        <mc:Choice Requires="wpg">
          <w:drawing>
            <wp:anchor distT="0" distB="0" distL="114300" distR="114300" simplePos="0" relativeHeight="251659264" behindDoc="0" locked="0" layoutInCell="1" allowOverlap="1" wp14:anchorId="05398C03" wp14:editId="22FC923B">
              <wp:simplePos x="0" y="0"/>
              <wp:positionH relativeFrom="page">
                <wp:posOffset>1323832</wp:posOffset>
              </wp:positionH>
              <wp:positionV relativeFrom="page">
                <wp:posOffset>9969074</wp:posOffset>
              </wp:positionV>
              <wp:extent cx="468981" cy="416872"/>
              <wp:effectExtent l="38100" t="57150" r="45720" b="40640"/>
              <wp:wrapNone/>
              <wp:docPr id="723504945"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68981" cy="416872"/>
                        <a:chOff x="10104" y="14464"/>
                        <a:chExt cx="720" cy="548"/>
                      </a:xfrm>
                    </wpg:grpSpPr>
                    <wps:wsp>
                      <wps:cNvPr id="1142850962"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878679949"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606700432"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31F58D71" w14:textId="77777777" w:rsidR="009E34E6" w:rsidRPr="009E34E6" w:rsidRDefault="009E34E6" w:rsidP="009E34E6">
                            <w:pPr>
                              <w:jc w:val="center"/>
                              <w:rPr>
                                <w:rFonts w:ascii="Tahoma" w:hAnsi="Tahoma" w:cs="Tahoma"/>
                                <w:b/>
                                <w:bCs/>
                                <w:sz w:val="22"/>
                                <w:szCs w:val="24"/>
                              </w:rPr>
                            </w:pPr>
                            <w:r w:rsidRPr="009E34E6">
                              <w:rPr>
                                <w:rFonts w:ascii="Tahoma" w:hAnsi="Tahoma" w:cs="Tahoma"/>
                                <w:b/>
                                <w:bCs/>
                                <w:sz w:val="22"/>
                                <w:szCs w:val="24"/>
                              </w:rPr>
                              <w:fldChar w:fldCharType="begin"/>
                            </w:r>
                            <w:r w:rsidRPr="009E34E6">
                              <w:rPr>
                                <w:rFonts w:ascii="Tahoma" w:hAnsi="Tahoma" w:cs="Tahoma"/>
                                <w:b/>
                                <w:bCs/>
                                <w:sz w:val="22"/>
                                <w:szCs w:val="24"/>
                              </w:rPr>
                              <w:instrText>PAGE    \* MERGEFORMAT</w:instrText>
                            </w:r>
                            <w:r w:rsidRPr="009E34E6">
                              <w:rPr>
                                <w:rFonts w:ascii="Tahoma" w:hAnsi="Tahoma" w:cs="Tahoma"/>
                                <w:b/>
                                <w:bCs/>
                                <w:sz w:val="22"/>
                                <w:szCs w:val="24"/>
                              </w:rPr>
                              <w:fldChar w:fldCharType="separate"/>
                            </w:r>
                            <w:r w:rsidRPr="009E34E6">
                              <w:rPr>
                                <w:rFonts w:ascii="Tahoma" w:hAnsi="Tahoma" w:cs="Tahoma"/>
                                <w:b/>
                                <w:bCs/>
                                <w:noProof/>
                                <w:sz w:val="22"/>
                                <w:szCs w:val="24"/>
                                <w:rtl/>
                                <w:lang w:val="ar-SA"/>
                              </w:rPr>
                              <w:t>2</w:t>
                            </w:r>
                            <w:r w:rsidRPr="009E34E6">
                              <w:rPr>
                                <w:rFonts w:ascii="Tahoma" w:hAnsi="Tahoma" w:cs="Tahoma"/>
                                <w:b/>
                                <w:bCs/>
                                <w:sz w:val="22"/>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98C03" id="مجموعة 6" o:spid="_x0000_s1026" style="position:absolute;left:0;text-align:left;margin-left:104.25pt;margin-top:784.95pt;width:36.95pt;height:32.8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"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"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" strokecolor="#a5a5a5" strokeweight="1pt">
                <v:textbox>
                  <w:txbxContent>
                    <w:p w14:paraId="31F58D71" w14:textId="77777777" w:rsidR="009E34E6" w:rsidRPr="009E34E6" w:rsidRDefault="009E34E6" w:rsidP="009E34E6">
                      <w:pPr>
                        <w:jc w:val="center"/>
                        <w:rPr>
                          <w:rFonts w:ascii="Tahoma" w:hAnsi="Tahoma" w:cs="Tahoma"/>
                          <w:b/>
                          <w:bCs/>
                          <w:sz w:val="22"/>
                          <w:szCs w:val="24"/>
                        </w:rPr>
                      </w:pPr>
                      <w:r w:rsidRPr="009E34E6">
                        <w:rPr>
                          <w:rFonts w:ascii="Tahoma" w:hAnsi="Tahoma" w:cs="Tahoma"/>
                          <w:b/>
                          <w:bCs/>
                          <w:sz w:val="22"/>
                          <w:szCs w:val="24"/>
                        </w:rPr>
                        <w:fldChar w:fldCharType="begin"/>
                      </w:r>
                      <w:r w:rsidRPr="009E34E6">
                        <w:rPr>
                          <w:rFonts w:ascii="Tahoma" w:hAnsi="Tahoma" w:cs="Tahoma"/>
                          <w:b/>
                          <w:bCs/>
                          <w:sz w:val="22"/>
                          <w:szCs w:val="24"/>
                        </w:rPr>
                        <w:instrText>PAGE    \* MERGEFORMAT</w:instrText>
                      </w:r>
                      <w:r w:rsidRPr="009E34E6">
                        <w:rPr>
                          <w:rFonts w:ascii="Tahoma" w:hAnsi="Tahoma" w:cs="Tahoma"/>
                          <w:b/>
                          <w:bCs/>
                          <w:sz w:val="22"/>
                          <w:szCs w:val="24"/>
                        </w:rPr>
                        <w:fldChar w:fldCharType="separate"/>
                      </w:r>
                      <w:r w:rsidRPr="009E34E6">
                        <w:rPr>
                          <w:rFonts w:ascii="Tahoma" w:hAnsi="Tahoma" w:cs="Tahoma"/>
                          <w:b/>
                          <w:bCs/>
                          <w:noProof/>
                          <w:sz w:val="22"/>
                          <w:szCs w:val="24"/>
                          <w:rtl/>
                          <w:lang w:val="ar-SA"/>
                        </w:rPr>
                        <w:t>2</w:t>
                      </w:r>
                      <w:r w:rsidRPr="009E34E6">
                        <w:rPr>
                          <w:rFonts w:ascii="Tahoma" w:hAnsi="Tahoma" w:cs="Tahoma"/>
                          <w:b/>
                          <w:bCs/>
                          <w:sz w:val="22"/>
                          <w:szCs w:val="24"/>
                        </w:rPr>
                        <w:fldChar w:fldCharType="end"/>
                      </w:r>
                    </w:p>
                  </w:txbxContent>
                </v:textbox>
              </v:rect>
              <w10:wrap anchorx="page" anchory="page"/>
            </v:group>
          </w:pict>
        </mc:Fallback>
      </mc:AlternateContent>
    </w:r>
    <w:r>
      <w:rPr>
        <w:noProof/>
      </w:rPr>
      <mc:AlternateContent>
        <mc:Choice Requires="wps">
          <w:drawing>
            <wp:anchor distT="45720" distB="45720" distL="114300" distR="114300" simplePos="0" relativeHeight="251661312" behindDoc="1" locked="0" layoutInCell="1" allowOverlap="1" wp14:anchorId="0BBD0006" wp14:editId="44F7FBC9">
              <wp:simplePos x="0" y="0"/>
              <wp:positionH relativeFrom="column">
                <wp:posOffset>2132596</wp:posOffset>
              </wp:positionH>
              <wp:positionV relativeFrom="paragraph">
                <wp:posOffset>-10795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2F20368" w14:textId="77777777" w:rsidR="009E34E6" w:rsidRDefault="009E34E6" w:rsidP="009E34E6">
                          <w:pPr>
                            <w:rPr>
                              <w:rFonts w:hint="cs"/>
                              <w:rtl/>
                              <w:lang w:bidi="ar-EG"/>
                            </w:rPr>
                          </w:pPr>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BD0006" id="_x0000_t202" coordsize="21600,21600" o:spt="202" path="m,l,21600r21600,l21600,xe">
              <v:stroke joinstyle="miter"/>
              <v:path gradientshapeok="t" o:connecttype="rect"/>
            </v:shapetype>
            <v:shape id="مربع نص 5" o:spid="_x0000_s1030" type="#_x0000_t202" style="position:absolute;left:0;text-align:left;margin-left:167.9pt;margin-top:-.8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" filled="f" strokecolor="white">
              <v:textbox>
                <w:txbxContent>
                  <w:p w14:paraId="12F20368" w14:textId="77777777" w:rsidR="009E34E6" w:rsidRDefault="009E34E6" w:rsidP="009E34E6">
                    <w:pPr>
                      <w:rPr>
                        <w:rFonts w:hint="cs"/>
                        <w:rtl/>
                        <w:lang w:bidi="ar-EG"/>
                      </w:rPr>
                    </w:pPr>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6CB68ABE" wp14:editId="2BE9DEC0">
          <wp:simplePos x="0" y="0"/>
          <wp:positionH relativeFrom="column">
            <wp:posOffset>71025</wp:posOffset>
          </wp:positionH>
          <wp:positionV relativeFrom="paragraph">
            <wp:posOffset>-5758</wp:posOffset>
          </wp:positionV>
          <wp:extent cx="5274310" cy="467995"/>
          <wp:effectExtent l="0" t="0" r="0" b="0"/>
          <wp:wrapNone/>
          <wp:docPr id="23852791"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6CCC3" w14:textId="77777777" w:rsidR="00301EC0" w:rsidRDefault="00301EC0" w:rsidP="001921BE">
      <w:r>
        <w:separator/>
      </w:r>
    </w:p>
  </w:footnote>
  <w:footnote w:type="continuationSeparator" w:id="0">
    <w:p w14:paraId="665505BF" w14:textId="77777777" w:rsidR="00301EC0" w:rsidRDefault="00301EC0" w:rsidP="00C742E9">
      <w:r>
        <w:continuationSeparator/>
      </w:r>
    </w:p>
  </w:footnote>
  <w:footnote w:id="1">
    <w:p w14:paraId="06E6E9E3" w14:textId="35B99B6F" w:rsidR="001921BE" w:rsidRPr="001921BE" w:rsidRDefault="001921BE" w:rsidP="00C33A62">
      <w:pPr>
        <w:pStyle w:val="ab"/>
        <w:spacing w:line="360" w:lineRule="auto"/>
        <w:ind w:hanging="397"/>
        <w:jc w:val="both"/>
        <w:rPr>
          <w:rStyle w:val="aa"/>
          <w:rtl/>
        </w:rPr>
      </w:pPr>
      <w:r w:rsidRPr="001921BE">
        <w:rPr>
          <w:rStyle w:val="aa"/>
          <w:rtl/>
        </w:rPr>
        <w:t>(</w:t>
      </w:r>
      <w:r w:rsidRPr="001921BE">
        <w:rPr>
          <w:rStyle w:val="aa"/>
          <w:rtl/>
        </w:rPr>
        <w:footnoteRef/>
      </w:r>
      <w:r w:rsidRPr="001921BE">
        <w:rPr>
          <w:rStyle w:val="aa"/>
          <w:rtl/>
        </w:rPr>
        <w:t>) هذا البحث مستلٌّ من رسالة الدكتوراه الموسومة بـ«أثر اليسير في باب العبادات»، التي يُعدّها الباحث في قسم الفقه، بكلية الشريعة والدراسات الإسلامية، جامعة القصيم، بإشراف الأستاذ الدكتور</w:t>
      </w:r>
      <w:r w:rsidR="0090501E">
        <w:rPr>
          <w:rStyle w:val="aa"/>
          <w:rFonts w:hint="cs"/>
          <w:rtl/>
        </w:rPr>
        <w:t>/ محمد بن إبراهيم الجاسر.</w:t>
      </w:r>
    </w:p>
  </w:footnote>
  <w:footnote w:id="2">
    <w:p w14:paraId="4629EA4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الكافي، لابن قدامة (2/266)، بداية المجتهد، لابن رشد (4/120)، شرح صحيح مسلم، للنووي (11/77).</w:t>
      </w:r>
    </w:p>
  </w:footnote>
  <w:footnote w:id="3">
    <w:p w14:paraId="510DB80D"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البخاري في كتاب الوصايا، باب الوصية بالثلث، برقم: (2592)، ورواه مسلم في كتاب الوصية، باب الوصية بالثلث، برقم (1628).</w:t>
      </w:r>
    </w:p>
  </w:footnote>
  <w:footnote w:id="4">
    <w:p w14:paraId="165ABA2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حاشية ابن عابدين (4/397)، مواهب الجليل، للحطاب (6/8)، تحفة المحتاج، لابن حجر الهيتمي (10/369)، الإقناع، للحجاوي (3/40).</w:t>
      </w:r>
    </w:p>
  </w:footnote>
  <w:footnote w:id="5">
    <w:p w14:paraId="31A3D4BD" w14:textId="0F0D0C6C"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مسلم، في كتاب الأيمان، باب من أعتق له شرك</w:t>
      </w:r>
      <w:r w:rsidR="005F7C17">
        <w:rPr>
          <w:rtl/>
        </w:rPr>
        <w:t>ًا</w:t>
      </w:r>
      <w:r w:rsidRPr="00CF742B">
        <w:rPr>
          <w:rtl/>
        </w:rPr>
        <w:t xml:space="preserve"> في عبد، برقم (1668)، وكذلك يستدلون لهذه المسألة بما جاء من حديث سعد في الوصية، وسبق تخريجه.</w:t>
      </w:r>
    </w:p>
  </w:footnote>
  <w:footnote w:id="6">
    <w:p w14:paraId="7525327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الأم، للشافعي (1/18)، مغني المحتاج، للشربيني (1/123).</w:t>
      </w:r>
    </w:p>
  </w:footnote>
  <w:footnote w:id="7">
    <w:p w14:paraId="2F0D2CD0"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المغني، لابن قدامة (1/38).</w:t>
      </w:r>
    </w:p>
  </w:footnote>
  <w:footnote w:id="8">
    <w:p w14:paraId="277CE28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أبو داود في كتاب الطهارة، باب ما ينجس الماء، برقم: (62)، ورواه النسائي في كتاب الطهارة، باب التوقيت في الماء، برقم (52)، ورواه الترمذي في كتاب الطهارة، باب منه آخر، برقم: (67)، ورواه ابن ماجه في كتاب الطهارة وسننها، باب مقدار الماء الذي لا ينجس، بر</w:t>
      </w:r>
      <w:r w:rsidRPr="00CF742B">
        <w:rPr>
          <w:rFonts w:hint="cs"/>
          <w:rtl/>
        </w:rPr>
        <w:t>قم</w:t>
      </w:r>
      <w:r w:rsidRPr="00CF742B">
        <w:rPr>
          <w:rtl/>
        </w:rPr>
        <w:t>: (517). والحديث صححه ابن الملقن في البدر المنير (1/404)، وصححه البيهقي في معرفة السنن والآثار (2/89). وقال ابن عبد الهادي في المحرر (1/83): "صححه ابن خزيمة، وابن حبان، والدارقطني، وغير واحد من الأئمة".</w:t>
      </w:r>
    </w:p>
  </w:footnote>
  <w:footnote w:id="9">
    <w:p w14:paraId="7D0B535E"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روضة الطالبين، للنووي (1/19).</w:t>
      </w:r>
    </w:p>
  </w:footnote>
  <w:footnote w:id="10">
    <w:p w14:paraId="368A46CB"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وأما الحنفية والمالكية فلا يعملون بهذا الحديث لعدم ثبوته عندهم، ولو ثبت عندهم لأخذوا به في تقدير اليسير الذي يحمل الخبث، انظر: حاشية ابن عابدين (1/191)، عيون الأدلة، لابن القصار (2/869).</w:t>
      </w:r>
    </w:p>
  </w:footnote>
  <w:footnote w:id="11">
    <w:p w14:paraId="71CAA72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الأم، للشافعي (1/37).</w:t>
      </w:r>
    </w:p>
  </w:footnote>
  <w:footnote w:id="12">
    <w:p w14:paraId="067B28A3"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كشاف القناع، للبهوتي (1/69).</w:t>
      </w:r>
    </w:p>
  </w:footnote>
  <w:footnote w:id="13">
    <w:p w14:paraId="3DD2A1CC"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مسلم في كتاب الطهارة، باب الاستطابة، برقم: (262).</w:t>
      </w:r>
    </w:p>
  </w:footnote>
  <w:footnote w:id="14">
    <w:p w14:paraId="5495EBDF"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وأما الحنفية والمالكية فإن عدد الأحجار غير واجب عندهم، وأن الأمر ليس للوجوب، بل هو مستحب، لحديث: (من استجمر فليوتر، فمن فعل فحسن، ومن لا فلا حرج). ولأن الاستنجاء غير واجب، وإذا سقط وجوبه سقط اعتبار صفته ومقداره. انظر: حاشية ابن عابدين (1/337)، عيون الأد</w:t>
      </w:r>
      <w:r w:rsidRPr="00CF742B">
        <w:rPr>
          <w:rFonts w:hint="cs"/>
          <w:rtl/>
        </w:rPr>
        <w:t>لة،</w:t>
      </w:r>
      <w:r w:rsidRPr="00CF742B">
        <w:rPr>
          <w:rtl/>
        </w:rPr>
        <w:t xml:space="preserve"> لابن القصار (1/385).</w:t>
      </w:r>
    </w:p>
  </w:footnote>
  <w:footnote w:id="15">
    <w:p w14:paraId="16869EE9"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(1/8)، وتبيين الحقائق، للزيلعي (1/48).</w:t>
      </w:r>
    </w:p>
  </w:footnote>
  <w:footnote w:id="16">
    <w:p w14:paraId="458AFC67"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روضة الطالبين، للنووي (1/131)، مغني المحتاج، للشربيني (1/64).</w:t>
      </w:r>
    </w:p>
  </w:footnote>
  <w:footnote w:id="17">
    <w:p w14:paraId="0001D84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الإنصاف، للمرداوي (1/176)، كشاف القناع، للبهوتي (1/114).</w:t>
      </w:r>
    </w:p>
  </w:footnote>
  <w:footnote w:id="18">
    <w:p w14:paraId="61D21179"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مسلم في كتاب الطهارة، باب التوقيت في المسح على الخفين، برقم: (276).</w:t>
      </w:r>
    </w:p>
  </w:footnote>
  <w:footnote w:id="19">
    <w:p w14:paraId="52F5435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وأما المالكية فإنهم يخالفون الجمهور؛ لعدم ثبوت الحديث عندهم. انظر: عيون الأدلة، لابن القصار (3/1267).</w:t>
      </w:r>
    </w:p>
  </w:footnote>
  <w:footnote w:id="20">
    <w:p w14:paraId="26248BDD"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حاشية الدسوقي (3/333).</w:t>
      </w:r>
    </w:p>
  </w:footnote>
  <w:footnote w:id="21">
    <w:p w14:paraId="6316666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شرح الزرقاني (8/94).</w:t>
      </w:r>
    </w:p>
  </w:footnote>
  <w:footnote w:id="22">
    <w:p w14:paraId="6D63D52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شرح منتهى الإرادات، للبهوتي (10/477).</w:t>
      </w:r>
    </w:p>
  </w:footnote>
  <w:footnote w:id="23">
    <w:p w14:paraId="29F4776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البخاري في كتاب الحدود، باب {والسارق والسارقة فاقطعوا أيديهما}، برقم: (٦٤٠٧)، ورواه مسلم في كتاب الحدود، باب حد السرقة ونصابها، برقم: (1684).</w:t>
      </w:r>
    </w:p>
  </w:footnote>
  <w:footnote w:id="24">
    <w:p w14:paraId="2294B229" w14:textId="1F64375E"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وأما الحنفية فنصاب السرقة عندهم عشرة دراهم؛ لما رواه أبو حنيفة مرفوع</w:t>
      </w:r>
      <w:r w:rsidR="005F7C17">
        <w:rPr>
          <w:rtl/>
        </w:rPr>
        <w:t>ًا</w:t>
      </w:r>
      <w:r w:rsidRPr="00CF742B">
        <w:rPr>
          <w:rtl/>
        </w:rPr>
        <w:t>: (لا تقطع اليد في أقل من عشرة دراهم) ورجح هذه على رواية ‌ربع ‌دينار؛ لأن الأخذ بالأكثر أحوط احتيال</w:t>
      </w:r>
      <w:r w:rsidR="005F7C17">
        <w:rPr>
          <w:rtl/>
        </w:rPr>
        <w:t>ًا</w:t>
      </w:r>
      <w:r w:rsidRPr="00CF742B">
        <w:rPr>
          <w:rtl/>
        </w:rPr>
        <w:t xml:space="preserve"> للدرء. انظر: حاشية ابن عابدين (4/83).</w:t>
      </w:r>
    </w:p>
  </w:footnote>
  <w:footnote w:id="25">
    <w:p w14:paraId="3D839447"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الفواكه الدواني، للنفراوي (2/192).</w:t>
      </w:r>
    </w:p>
  </w:footnote>
  <w:footnote w:id="26">
    <w:p w14:paraId="7BDC4945" w14:textId="0980F89E"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المغني، لابن قدامة (12/57).</w:t>
      </w:r>
    </w:p>
  </w:footnote>
  <w:footnote w:id="27">
    <w:p w14:paraId="4CF3E85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النسائي في كتاب القسامة، باب عقل المرأة، برقم: (6980)، من حديث إسماعيل بن عياش، عن ابن جريج، عن عمرو بن شعيب، عن أبيه، عن جده، قال النسائي: "إسماعيل بن عياش ضعيف كثير الخطأ". وقال الألباني في إرواء الغليل (7/308): "هذا إسناد ضعيف".</w:t>
      </w:r>
    </w:p>
  </w:footnote>
  <w:footnote w:id="28">
    <w:p w14:paraId="4424DFEB"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(1/4)،حاشية ابن عابدين (1/99).</w:t>
      </w:r>
    </w:p>
  </w:footnote>
  <w:footnote w:id="29">
    <w:p w14:paraId="55AF087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مسلم بطوله، في كتاب الطهارة، باب المسح على الناصية والعمامة، برقم: (274).</w:t>
      </w:r>
    </w:p>
  </w:footnote>
  <w:footnote w:id="30">
    <w:p w14:paraId="36E3E19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المبسوط، للسرخسي (1/63)، وفتح باب العناية بشرح النقاية، للهروي القاري (1/44).</w:t>
      </w:r>
    </w:p>
  </w:footnote>
  <w:footnote w:id="31">
    <w:p w14:paraId="5F525870"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حاشية ابن عابدين (1/321).</w:t>
      </w:r>
    </w:p>
  </w:footnote>
  <w:footnote w:id="32">
    <w:p w14:paraId="7517A0D1"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البحر الرائق، لابن نجيم (1/245).</w:t>
      </w:r>
    </w:p>
  </w:footnote>
  <w:footnote w:id="33">
    <w:p w14:paraId="268173D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(1/5)، حاشية ابن عابدين (1/412).</w:t>
      </w:r>
    </w:p>
  </w:footnote>
  <w:footnote w:id="34">
    <w:p w14:paraId="4F464AD6"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(2/141)،حاشية ابن عابدين (1/412).</w:t>
      </w:r>
    </w:p>
  </w:footnote>
  <w:footnote w:id="35">
    <w:p w14:paraId="56B1C90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حاشية ابن عابدين (6/323).</w:t>
      </w:r>
    </w:p>
  </w:footnote>
  <w:footnote w:id="36">
    <w:p w14:paraId="7D7946B0"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بداية المجتهد، لابن رشد (2/205)، مواهب الجليل، للحطاب (1/202).</w:t>
      </w:r>
    </w:p>
  </w:footnote>
  <w:footnote w:id="37">
    <w:p w14:paraId="3099BC8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كشاف القناع، للبهوتي (13/451).</w:t>
      </w:r>
    </w:p>
  </w:footnote>
  <w:footnote w:id="38">
    <w:p w14:paraId="14E28B2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حاشية ابن عابدين (6/323). </w:t>
      </w:r>
    </w:p>
  </w:footnote>
  <w:footnote w:id="39">
    <w:p w14:paraId="5200C6D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على خلاف بينهم في الثلث هل هو داخل في اليسير، أو أنه بداية الكثير.</w:t>
      </w:r>
    </w:p>
  </w:footnote>
  <w:footnote w:id="40">
    <w:p w14:paraId="02D8C2A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حاشية العدوي على مختصر الخرشي (1/252).</w:t>
      </w:r>
    </w:p>
  </w:footnote>
  <w:footnote w:id="41">
    <w:p w14:paraId="50B06260"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البخاري في كتاب الوصايا، باب الوصية بالثلث، برقم: (2592)، ورواه مسلم في كتاب الوصية، باب الوصية بالثلث، برقم (1628).</w:t>
      </w:r>
    </w:p>
  </w:footnote>
  <w:footnote w:id="42">
    <w:p w14:paraId="19BAD153" w14:textId="1C66F89D"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ويكثر اعتبار الثلث في جعله فاصل</w:t>
      </w:r>
      <w:r w:rsidR="005F7C17">
        <w:rPr>
          <w:rtl/>
        </w:rPr>
        <w:t>ًا</w:t>
      </w:r>
      <w:r w:rsidRPr="00CF742B">
        <w:rPr>
          <w:rtl/>
        </w:rPr>
        <w:t xml:space="preserve"> بين اليسير والكثير عند المالكية وفي بعض روايات الحنابلة.</w:t>
      </w:r>
    </w:p>
  </w:footnote>
  <w:footnote w:id="43">
    <w:p w14:paraId="2EFD1C7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المغني (6/179).</w:t>
      </w:r>
    </w:p>
  </w:footnote>
  <w:footnote w:id="44">
    <w:p w14:paraId="3F39EDB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مواهب الجليل، للحطاب (1/202).</w:t>
      </w:r>
    </w:p>
  </w:footnote>
  <w:footnote w:id="45">
    <w:p w14:paraId="2C61D303"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الإنصاف، للمرداوي (1/348).</w:t>
      </w:r>
    </w:p>
  </w:footnote>
  <w:footnote w:id="46">
    <w:p w14:paraId="3FE8D6C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الشرح الكبير، للدردير (1/143).</w:t>
      </w:r>
    </w:p>
  </w:footnote>
  <w:footnote w:id="47">
    <w:p w14:paraId="62849570"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حاشية ابن عابدين (6/323).</w:t>
      </w:r>
    </w:p>
  </w:footnote>
  <w:footnote w:id="48">
    <w:p w14:paraId="1365E147"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شرح الخرشي على مختصر خليل (3/36).</w:t>
      </w:r>
    </w:p>
  </w:footnote>
  <w:footnote w:id="49">
    <w:p w14:paraId="4680105F"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مواهب الجليل، للحطاب (4/472).</w:t>
      </w:r>
    </w:p>
  </w:footnote>
  <w:footnote w:id="50">
    <w:p w14:paraId="3A00F377"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القوانين الفقهية، لابن جزي (ص260)، بداية المجتهد، لابن رشد (2/205).</w:t>
      </w:r>
    </w:p>
  </w:footnote>
  <w:footnote w:id="51">
    <w:p w14:paraId="5188E5BC"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الإنصاف، للمرداوي (12/194)، شرح منتهى الإرادات، لابن النجار (5/186).</w:t>
      </w:r>
    </w:p>
  </w:footnote>
  <w:footnote w:id="52">
    <w:p w14:paraId="0BE23E6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المدونة (3/587).</w:t>
      </w:r>
    </w:p>
  </w:footnote>
  <w:footnote w:id="53">
    <w:p w14:paraId="0180DED9"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كشاف القناع، للبهوتي (13/451).</w:t>
      </w:r>
    </w:p>
  </w:footnote>
  <w:footnote w:id="54">
    <w:p w14:paraId="47F1CDC0"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المبسوط، للسرخسي (12/145)، بدائع الصنائع، للكاساني (1/117). واختلفت الرواية عن النصف هل هو من الكثير أو داخل في اليسير.</w:t>
      </w:r>
    </w:p>
  </w:footnote>
  <w:footnote w:id="55">
    <w:p w14:paraId="226F0AF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العناية، للبابرتي (1/260)، بدائع الصنائع، للكاساني (1/117).</w:t>
      </w:r>
    </w:p>
  </w:footnote>
  <w:footnote w:id="56">
    <w:p w14:paraId="19040D8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البناية، للعيني (2/127).</w:t>
      </w:r>
    </w:p>
  </w:footnote>
  <w:footnote w:id="57">
    <w:p w14:paraId="4B87DA8B"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(2/192).</w:t>
      </w:r>
    </w:p>
  </w:footnote>
  <w:footnote w:id="58">
    <w:p w14:paraId="35D7F2EB"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حاشية ابن عابدين (6/324).</w:t>
      </w:r>
    </w:p>
  </w:footnote>
  <w:footnote w:id="59">
    <w:p w14:paraId="388EF4D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(1/11)، تحفة المحتاج، لابن حجر الهيتمي (4/120)، المغني، لابن قدامة (1/230).</w:t>
      </w:r>
    </w:p>
  </w:footnote>
  <w:footnote w:id="60">
    <w:p w14:paraId="5F53C34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على خلاف بينهم، فمنهم من جعل الثلاثة في حد القلة، ومنهم من جعله بداية الكثرة.</w:t>
      </w:r>
    </w:p>
  </w:footnote>
  <w:footnote w:id="61">
    <w:p w14:paraId="2B777F91"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الحاوي الكبير، للماوردي (5/67).</w:t>
      </w:r>
    </w:p>
  </w:footnote>
  <w:footnote w:id="62">
    <w:p w14:paraId="2265B26C"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البخاري في صحيحه، في كتاب الأدب، باب الهجرة، برقم: (٥٧٢٦)، ورواه مسلم، في كتاب البر والصلة والآداب، ‌‌باب النهي عن التحاسد والتباغض والتدابر، برقم: (٢٥٥٩).</w:t>
      </w:r>
    </w:p>
  </w:footnote>
  <w:footnote w:id="63">
    <w:p w14:paraId="327A9D6C"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البيان والتحصيل، لابن رشد (16/380).</w:t>
      </w:r>
    </w:p>
  </w:footnote>
  <w:footnote w:id="64">
    <w:p w14:paraId="24F5F6F4"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(1/4).</w:t>
      </w:r>
    </w:p>
  </w:footnote>
  <w:footnote w:id="65">
    <w:p w14:paraId="0B0FA36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العزيز شرح الوجيز، للرافعي (1/113)، روضة الطالبين، للنووي (1/53).</w:t>
      </w:r>
    </w:p>
  </w:footnote>
  <w:footnote w:id="66">
    <w:p w14:paraId="71FC085E"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(1/11)، حاشية ابن عابدين (1/261).</w:t>
      </w:r>
    </w:p>
  </w:footnote>
  <w:footnote w:id="67">
    <w:p w14:paraId="6CDA0491"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الإنصاف، للمرداوي (1/371)، والمغني، لابن قدامة (1/230).</w:t>
      </w:r>
    </w:p>
  </w:footnote>
  <w:footnote w:id="68">
    <w:p w14:paraId="02EE29C9" w14:textId="345D002A"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كشاف القناع، للبهوتي (7/441)، وبقية المذاهب على خلاف في تأويل الحديث، فهو وإن كان صحيح</w:t>
      </w:r>
      <w:r w:rsidR="005F7C17">
        <w:rPr>
          <w:rtl/>
        </w:rPr>
        <w:t>ًا</w:t>
      </w:r>
      <w:r w:rsidRPr="00CF742B">
        <w:rPr>
          <w:rtl/>
        </w:rPr>
        <w:t xml:space="preserve"> إلا أن</w:t>
      </w:r>
      <w:r>
        <w:rPr>
          <w:rFonts w:hint="cs"/>
          <w:rtl/>
        </w:rPr>
        <w:t>ه</w:t>
      </w:r>
      <w:r w:rsidRPr="00CF742B">
        <w:rPr>
          <w:rtl/>
        </w:rPr>
        <w:t xml:space="preserve"> غير صريح عندهم في تحديد الخيار بالأيام الثلاثة.</w:t>
      </w:r>
    </w:p>
  </w:footnote>
  <w:footnote w:id="69">
    <w:p w14:paraId="05C5C84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مسلم في كتاب البيوع، باب حكم بيع المصراة، برقم: (1524).</w:t>
      </w:r>
    </w:p>
  </w:footnote>
  <w:footnote w:id="70">
    <w:p w14:paraId="0FA137D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العزيز شرح الوجيز، للرافعي (1/113)، تحفة المحتاج، لابن حجر الهيتمي (4/120).</w:t>
      </w:r>
    </w:p>
  </w:footnote>
  <w:footnote w:id="71">
    <w:p w14:paraId="36E82117"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تحفة المحتاج، لابن حجر الهيتمي (4/172).</w:t>
      </w:r>
    </w:p>
  </w:footnote>
  <w:footnote w:id="72">
    <w:p w14:paraId="024A52D4"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الحاوي الكبير، للماوردي (4/293)، مغني المحتاج، للشربيني (2/311).</w:t>
      </w:r>
    </w:p>
  </w:footnote>
  <w:footnote w:id="73">
    <w:p w14:paraId="7858342D"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أحكام القرآن، لابن العربي (4/1830).</w:t>
      </w:r>
    </w:p>
  </w:footnote>
  <w:footnote w:id="74">
    <w:p w14:paraId="6AD6A626"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رواه البخاري في كتاب النفقات، باب إذا لم ينفق الرجل فللمرأة أن تأخذ بغير علمه ما يكفيها وولدها من معروف، برقم: (5049)، ورواه مسلم في كتاب الأقضية، باب قضية هند، برقم: (1714).</w:t>
      </w:r>
    </w:p>
  </w:footnote>
  <w:footnote w:id="75">
    <w:p w14:paraId="47B0DDB1"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فتح الباري، لابن حجر (9/510).</w:t>
      </w:r>
    </w:p>
  </w:footnote>
  <w:footnote w:id="76">
    <w:p w14:paraId="673599B4"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كشاف القناع، للبهوتي (1/126).</w:t>
      </w:r>
    </w:p>
  </w:footnote>
  <w:footnote w:id="77">
    <w:p w14:paraId="0E56766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المجموع، للنووي (3/357).</w:t>
      </w:r>
    </w:p>
  </w:footnote>
  <w:footnote w:id="78">
    <w:p w14:paraId="2608B8A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الأشباه والنظائر، للسيوطي (ص409).</w:t>
      </w:r>
    </w:p>
  </w:footnote>
  <w:footnote w:id="79">
    <w:p w14:paraId="37A11F89"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بدائع الصنائع، للكاساني (4/181).</w:t>
      </w:r>
    </w:p>
  </w:footnote>
  <w:footnote w:id="80">
    <w:p w14:paraId="3B439313"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المغني، لابن قدامة (1/381).</w:t>
      </w:r>
    </w:p>
  </w:footnote>
  <w:footnote w:id="81">
    <w:p w14:paraId="2A6E249C"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بدائع الصنائع، للكاساني (2/90).</w:t>
      </w:r>
    </w:p>
  </w:footnote>
  <w:footnote w:id="82">
    <w:p w14:paraId="5E7F2CF1"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المنثور في القواعد، للزركشي (3/265).</w:t>
      </w:r>
    </w:p>
  </w:footnote>
  <w:footnote w:id="83">
    <w:p w14:paraId="4FEC0333"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والمراد بما يدخل تحت تقويم المقومين: فيما إذا عُرضت سلعة على أهل السوق، فقدّروا قيمتها مع اختلاف بينهم، فما ذكروا من قيمة السلعة الأقل إلى القيمة الأكثر وما كان بينهما فهو داخل تحت تقويم المقومين.</w:t>
      </w:r>
    </w:p>
  </w:footnote>
  <w:footnote w:id="84">
    <w:p w14:paraId="2C4399B7"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تبيين الحقائق، للزيلعي (4/272).</w:t>
      </w:r>
    </w:p>
  </w:footnote>
  <w:footnote w:id="85">
    <w:p w14:paraId="386CC15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حاشية البجيرمي (1/121).</w:t>
      </w:r>
    </w:p>
  </w:footnote>
  <w:footnote w:id="86">
    <w:p w14:paraId="3F413756"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المبسوط، للسرخسي (1/195).</w:t>
      </w:r>
    </w:p>
  </w:footnote>
  <w:footnote w:id="87">
    <w:p w14:paraId="43F4C23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المرجع السابق (1/241).</w:t>
      </w:r>
    </w:p>
  </w:footnote>
  <w:footnote w:id="88">
    <w:p w14:paraId="1FCADDD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المجموع، للنووي (1/ 259).</w:t>
      </w:r>
    </w:p>
  </w:footnote>
  <w:footnote w:id="89">
    <w:p w14:paraId="44AD6D9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بدائع الصنائع، للكاساني (1/22).</w:t>
      </w:r>
    </w:p>
  </w:footnote>
  <w:footnote w:id="90">
    <w:p w14:paraId="4C52876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الحاوي الكبير، للماوردي (15/80).</w:t>
      </w:r>
    </w:p>
  </w:footnote>
  <w:footnote w:id="91">
    <w:p w14:paraId="15209DA9"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المغني، لابن قدامة (1/137).</w:t>
      </w:r>
    </w:p>
  </w:footnote>
  <w:footnote w:id="92">
    <w:p w14:paraId="1F4D14D1"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بدائع الصنائع، للكاساني (1/80).</w:t>
      </w:r>
    </w:p>
  </w:footnote>
  <w:footnote w:id="93">
    <w:p w14:paraId="6B24672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إلا ما استدلوا به في تقدير النجاسة بالدرهم بما يروى عن النبي §، أنه قال: "تعاد الصلاة من قدر الدرهم من الدم" أخرجه الدارقطني في سننه، في باب قدر النجاسة التي تبطل الصلاة، من كتاب الصلاة (1/401). قال ابن قدامة: "وما رووه لا يصح، فإن الحافظ أبا الفضل المق</w:t>
      </w:r>
      <w:r w:rsidRPr="00CF742B">
        <w:rPr>
          <w:rFonts w:hint="cs"/>
          <w:rtl/>
        </w:rPr>
        <w:t>دسي</w:t>
      </w:r>
      <w:r w:rsidRPr="00CF742B">
        <w:rPr>
          <w:rtl/>
        </w:rPr>
        <w:t xml:space="preserve"> قال: هو موضوع.". المغني (2/483)، وانظر: تذكرة الموضوعات، للفتني (ص41).</w:t>
      </w:r>
    </w:p>
  </w:footnote>
  <w:footnote w:id="94">
    <w:p w14:paraId="6E95F2BF"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المجموع، للنووي (4/93).</w:t>
      </w:r>
    </w:p>
  </w:footnote>
  <w:footnote w:id="95">
    <w:p w14:paraId="098E706B"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الإنصاف، للمرداوي (2/97).</w:t>
      </w:r>
    </w:p>
  </w:footnote>
  <w:footnote w:id="96">
    <w:p w14:paraId="387B630E"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الإنصاف، للمرداوي (2/97).</w:t>
      </w:r>
    </w:p>
  </w:footnote>
  <w:footnote w:id="97">
    <w:p w14:paraId="7093F40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المغني، لابن قدامة (6/37)، كشاف القناع، للبهوتي (1/126).</w:t>
      </w:r>
    </w:p>
  </w:footnote>
  <w:footnote w:id="98">
    <w:p w14:paraId="7706094F"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المغني، لابن قدامة (1/237).</w:t>
      </w:r>
    </w:p>
  </w:footnote>
  <w:footnote w:id="99">
    <w:p w14:paraId="3DA0084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الحاوي الكبير، للماوردي (1/295).</w:t>
      </w:r>
    </w:p>
  </w:footnote>
  <w:footnote w:id="100">
    <w:p w14:paraId="3F6A208C"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الإنصاف، للمرداوي (1/198).</w:t>
      </w:r>
    </w:p>
  </w:footnote>
  <w:footnote w:id="101">
    <w:p w14:paraId="656F80C3"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المحلى، لابن حزم (1/348)، بداية المجتهد، لابن رشد (1/178).</w:t>
      </w:r>
    </w:p>
  </w:footnote>
  <w:footnote w:id="102">
    <w:p w14:paraId="01AB93E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المغني، لابن قدامة (3/109)، مجموع الفتاوى، لابن تيمية (24/15).</w:t>
      </w:r>
    </w:p>
  </w:footnote>
  <w:footnote w:id="103">
    <w:p w14:paraId="2E54ECD1"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مجموع الفتاوى، لابن تيمية (24/48).</w:t>
      </w:r>
    </w:p>
  </w:footnote>
  <w:footnote w:id="104">
    <w:p w14:paraId="0B0DCBBF"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زاد المعاد، لابن القيم (1/364).</w:t>
      </w:r>
    </w:p>
  </w:footnote>
  <w:footnote w:id="105">
    <w:p w14:paraId="2B4E233F"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الشرح الكبير، للدردير (1/295).</w:t>
      </w:r>
    </w:p>
  </w:footnote>
  <w:footnote w:id="106">
    <w:p w14:paraId="6FAAFEF3"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مغني المحتاج، للشربيني (1/439).</w:t>
      </w:r>
    </w:p>
  </w:footnote>
  <w:footnote w:id="107">
    <w:p w14:paraId="0E03B308"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كشاف القناع، للبهوتي (2/496).</w:t>
      </w:r>
    </w:p>
  </w:footnote>
  <w:footnote w:id="108">
    <w:p w14:paraId="3EF7EC09"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مغني المحتاج، للشربيني (1/439).</w:t>
      </w:r>
    </w:p>
  </w:footnote>
  <w:footnote w:id="109">
    <w:p w14:paraId="4826DC9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روضة الطالبين (4/304).</w:t>
      </w:r>
    </w:p>
  </w:footnote>
  <w:footnote w:id="110">
    <w:p w14:paraId="15E9D6C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المغني، لابن قدامة (6/37).</w:t>
      </w:r>
    </w:p>
  </w:footnote>
  <w:footnote w:id="111">
    <w:p w14:paraId="46E1CADD"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مواهب الجليل، للحطاب (4/472).</w:t>
      </w:r>
    </w:p>
  </w:footnote>
  <w:footnote w:id="112">
    <w:p w14:paraId="5F306510"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المغني، لابن قدامة (6/37).</w:t>
      </w:r>
    </w:p>
  </w:footnote>
  <w:footnote w:id="113">
    <w:p w14:paraId="5EA1FC6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المجموع، للنووي (1/259)، المغني، لابن قدامة (2/482)، مغني المحتاج، للشربيني (2/368)، شرح التلقين، للمازري (2/607).</w:t>
      </w:r>
    </w:p>
  </w:footnote>
  <w:footnote w:id="114">
    <w:p w14:paraId="075D540A"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المغني، لابن قدامة (2/334).</w:t>
      </w:r>
    </w:p>
  </w:footnote>
  <w:footnote w:id="115">
    <w:p w14:paraId="226DBBD5"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الحاوي الكبير، للماوردي (6/540).</w:t>
      </w:r>
    </w:p>
  </w:footnote>
  <w:footnote w:id="116">
    <w:p w14:paraId="66CB96B2"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كشاف القناع، للبهوتي (1/126).</w:t>
      </w:r>
    </w:p>
  </w:footnote>
  <w:footnote w:id="117">
    <w:p w14:paraId="2B610CF9"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مجموع الفتاوى، لابن تيمية (21/174).</w:t>
      </w:r>
    </w:p>
  </w:footnote>
  <w:footnote w:id="118">
    <w:p w14:paraId="453B6BEC"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المغني، لابن قدامة (5/383).</w:t>
      </w:r>
    </w:p>
  </w:footnote>
  <w:footnote w:id="119">
    <w:p w14:paraId="13A810CF"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الأوسط، لابن المنذر (1/420).</w:t>
      </w:r>
    </w:p>
  </w:footnote>
  <w:footnote w:id="120">
    <w:p w14:paraId="31998109" w14:textId="77777777" w:rsidR="00C742E9" w:rsidRPr="00CF742B" w:rsidRDefault="00C742E9" w:rsidP="00C33A62">
      <w:pPr>
        <w:pStyle w:val="ab"/>
        <w:spacing w:line="360" w:lineRule="auto"/>
        <w:ind w:hanging="397"/>
        <w:jc w:val="lowKashida"/>
      </w:pPr>
      <w:r w:rsidRPr="00CF742B">
        <w:rPr>
          <w:rStyle w:val="aa"/>
        </w:rPr>
        <w:footnoteRef/>
      </w:r>
      <w:r w:rsidRPr="00CF742B">
        <w:rPr>
          <w:rtl/>
        </w:rPr>
        <w:t xml:space="preserve"> ) انظر: العزيز</w:t>
      </w:r>
      <w:r w:rsidRPr="00CF742B">
        <w:rPr>
          <w:rFonts w:hint="cs"/>
          <w:rtl/>
        </w:rPr>
        <w:t xml:space="preserve"> شرح الوجيز</w:t>
      </w:r>
      <w:r w:rsidRPr="00CF742B">
        <w:rPr>
          <w:rtl/>
        </w:rPr>
        <w:t>، للرافعي (4/112).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6B91"/>
    <w:multiLevelType w:val="hybridMultilevel"/>
    <w:tmpl w:val="BFDE415A"/>
    <w:lvl w:ilvl="0" w:tplc="6D4C746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B527AD7"/>
    <w:multiLevelType w:val="hybridMultilevel"/>
    <w:tmpl w:val="0CF2F0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2D5BD4"/>
    <w:multiLevelType w:val="hybridMultilevel"/>
    <w:tmpl w:val="8766DB9C"/>
    <w:lvl w:ilvl="0" w:tplc="E6CEFA36">
      <w:start w:val="2"/>
      <w:numFmt w:val="bullet"/>
      <w:lvlText w:val="-"/>
      <w:lvlJc w:val="left"/>
      <w:pPr>
        <w:ind w:left="720" w:hanging="360"/>
      </w:pPr>
      <w:rPr>
        <w:rFonts w:ascii="ATraditional Arabic" w:eastAsiaTheme="minorHAnsi" w:hAnsi="ATraditional Arabic" w:cs="A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2264B"/>
    <w:multiLevelType w:val="multilevel"/>
    <w:tmpl w:val="9D3EF8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A77A98"/>
    <w:multiLevelType w:val="hybridMultilevel"/>
    <w:tmpl w:val="4B22D0FA"/>
    <w:lvl w:ilvl="0" w:tplc="F392DC70">
      <w:start w:val="1"/>
      <w:numFmt w:val="decimal"/>
      <w:lvlText w:val="%1-"/>
      <w:lvlJc w:val="left"/>
      <w:pPr>
        <w:ind w:left="1235" w:hanging="720"/>
      </w:pPr>
      <w:rPr>
        <w:rFonts w:hint="default"/>
      </w:rPr>
    </w:lvl>
    <w:lvl w:ilvl="1" w:tplc="04090019" w:tentative="1">
      <w:start w:val="1"/>
      <w:numFmt w:val="lowerLetter"/>
      <w:lvlText w:val="%2."/>
      <w:lvlJc w:val="left"/>
      <w:pPr>
        <w:ind w:left="1595" w:hanging="360"/>
      </w:pPr>
    </w:lvl>
    <w:lvl w:ilvl="2" w:tplc="0409001B" w:tentative="1">
      <w:start w:val="1"/>
      <w:numFmt w:val="lowerRoman"/>
      <w:lvlText w:val="%3."/>
      <w:lvlJc w:val="right"/>
      <w:pPr>
        <w:ind w:left="2315" w:hanging="180"/>
      </w:pPr>
    </w:lvl>
    <w:lvl w:ilvl="3" w:tplc="0409000F" w:tentative="1">
      <w:start w:val="1"/>
      <w:numFmt w:val="decimal"/>
      <w:lvlText w:val="%4."/>
      <w:lvlJc w:val="left"/>
      <w:pPr>
        <w:ind w:left="3035" w:hanging="360"/>
      </w:pPr>
    </w:lvl>
    <w:lvl w:ilvl="4" w:tplc="04090019" w:tentative="1">
      <w:start w:val="1"/>
      <w:numFmt w:val="lowerLetter"/>
      <w:lvlText w:val="%5."/>
      <w:lvlJc w:val="left"/>
      <w:pPr>
        <w:ind w:left="3755" w:hanging="360"/>
      </w:pPr>
    </w:lvl>
    <w:lvl w:ilvl="5" w:tplc="0409001B" w:tentative="1">
      <w:start w:val="1"/>
      <w:numFmt w:val="lowerRoman"/>
      <w:lvlText w:val="%6."/>
      <w:lvlJc w:val="right"/>
      <w:pPr>
        <w:ind w:left="4475" w:hanging="180"/>
      </w:pPr>
    </w:lvl>
    <w:lvl w:ilvl="6" w:tplc="0409000F" w:tentative="1">
      <w:start w:val="1"/>
      <w:numFmt w:val="decimal"/>
      <w:lvlText w:val="%7."/>
      <w:lvlJc w:val="left"/>
      <w:pPr>
        <w:ind w:left="5195" w:hanging="360"/>
      </w:pPr>
    </w:lvl>
    <w:lvl w:ilvl="7" w:tplc="04090019" w:tentative="1">
      <w:start w:val="1"/>
      <w:numFmt w:val="lowerLetter"/>
      <w:lvlText w:val="%8."/>
      <w:lvlJc w:val="left"/>
      <w:pPr>
        <w:ind w:left="5915" w:hanging="360"/>
      </w:pPr>
    </w:lvl>
    <w:lvl w:ilvl="8" w:tplc="0409001B" w:tentative="1">
      <w:start w:val="1"/>
      <w:numFmt w:val="lowerRoman"/>
      <w:lvlText w:val="%9."/>
      <w:lvlJc w:val="right"/>
      <w:pPr>
        <w:ind w:left="6635" w:hanging="180"/>
      </w:pPr>
    </w:lvl>
  </w:abstractNum>
  <w:abstractNum w:abstractNumId="5" w15:restartNumberingAfterBreak="0">
    <w:nsid w:val="47D044FE"/>
    <w:multiLevelType w:val="hybridMultilevel"/>
    <w:tmpl w:val="A3D46AFE"/>
    <w:lvl w:ilvl="0" w:tplc="F2F8D8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120440">
    <w:abstractNumId w:val="5"/>
  </w:num>
  <w:num w:numId="2" w16cid:durableId="1017855191">
    <w:abstractNumId w:val="0"/>
  </w:num>
  <w:num w:numId="3" w16cid:durableId="2054227757">
    <w:abstractNumId w:val="2"/>
  </w:num>
  <w:num w:numId="4" w16cid:durableId="1451431606">
    <w:abstractNumId w:val="1"/>
  </w:num>
  <w:num w:numId="5" w16cid:durableId="1057628501">
    <w:abstractNumId w:val="4"/>
  </w:num>
  <w:num w:numId="6" w16cid:durableId="361706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2E9"/>
    <w:rsid w:val="000B7965"/>
    <w:rsid w:val="00180A69"/>
    <w:rsid w:val="001921BE"/>
    <w:rsid w:val="00192AC9"/>
    <w:rsid w:val="002D5ED3"/>
    <w:rsid w:val="00301EC0"/>
    <w:rsid w:val="00306C5B"/>
    <w:rsid w:val="003E4152"/>
    <w:rsid w:val="003F680A"/>
    <w:rsid w:val="004355B5"/>
    <w:rsid w:val="005F7C17"/>
    <w:rsid w:val="00655BC4"/>
    <w:rsid w:val="007162FF"/>
    <w:rsid w:val="00796DC6"/>
    <w:rsid w:val="0090501E"/>
    <w:rsid w:val="00907939"/>
    <w:rsid w:val="009E34E6"/>
    <w:rsid w:val="00A31F02"/>
    <w:rsid w:val="00BF0570"/>
    <w:rsid w:val="00C33A62"/>
    <w:rsid w:val="00C742E9"/>
    <w:rsid w:val="00D72D69"/>
    <w:rsid w:val="00D84B7E"/>
    <w:rsid w:val="00F83C8F"/>
    <w:rsid w:val="00F95033"/>
    <w:rsid w:val="00FD0882"/>
    <w:rsid w:val="00FD35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4A8CF"/>
  <w15:chartTrackingRefBased/>
  <w15:docId w15:val="{048CA890-8C7E-41FB-B073-9B5F19AD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2E9"/>
    <w:pPr>
      <w:bidi/>
      <w:spacing w:after="0" w:line="240" w:lineRule="auto"/>
      <w:jc w:val="lowKashida"/>
    </w:pPr>
    <w:rPr>
      <w:rFonts w:ascii="Times New Roman" w:hAnsi="Times New Roman" w:cs="ATraditional Arabic"/>
      <w:kern w:val="0"/>
      <w:sz w:val="32"/>
      <w:szCs w:val="36"/>
      <w14:ligatures w14:val="none"/>
    </w:rPr>
  </w:style>
  <w:style w:type="paragraph" w:styleId="1">
    <w:name w:val="heading 1"/>
    <w:basedOn w:val="a"/>
    <w:next w:val="a"/>
    <w:link w:val="1Char"/>
    <w:uiPriority w:val="9"/>
    <w:qFormat/>
    <w:rsid w:val="00C74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C742E9"/>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3">
    <w:name w:val="heading 3"/>
    <w:basedOn w:val="a"/>
    <w:next w:val="a"/>
    <w:link w:val="3Char"/>
    <w:uiPriority w:val="9"/>
    <w:unhideWhenUsed/>
    <w:qFormat/>
    <w:rsid w:val="00C742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C742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742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742E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742E9"/>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742E9"/>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742E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C742E9"/>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rsid w:val="00C742E9"/>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rsid w:val="00C742E9"/>
    <w:rPr>
      <w:rFonts w:eastAsiaTheme="majorEastAsia" w:cstheme="majorBidi"/>
      <w:color w:val="0F4761" w:themeColor="accent1" w:themeShade="BF"/>
      <w:sz w:val="28"/>
      <w:szCs w:val="28"/>
    </w:rPr>
  </w:style>
  <w:style w:type="character" w:customStyle="1" w:styleId="4Char">
    <w:name w:val="عنوان 4 Char"/>
    <w:basedOn w:val="a0"/>
    <w:link w:val="4"/>
    <w:uiPriority w:val="9"/>
    <w:rsid w:val="00C742E9"/>
    <w:rPr>
      <w:rFonts w:eastAsiaTheme="majorEastAsia" w:cstheme="majorBidi"/>
      <w:i/>
      <w:iCs/>
      <w:color w:val="0F4761" w:themeColor="accent1" w:themeShade="BF"/>
    </w:rPr>
  </w:style>
  <w:style w:type="character" w:customStyle="1" w:styleId="5Char">
    <w:name w:val="عنوان 5 Char"/>
    <w:basedOn w:val="a0"/>
    <w:link w:val="5"/>
    <w:uiPriority w:val="9"/>
    <w:semiHidden/>
    <w:rsid w:val="00C742E9"/>
    <w:rPr>
      <w:rFonts w:eastAsiaTheme="majorEastAsia" w:cstheme="majorBidi"/>
      <w:color w:val="0F4761" w:themeColor="accent1" w:themeShade="BF"/>
    </w:rPr>
  </w:style>
  <w:style w:type="character" w:customStyle="1" w:styleId="6Char">
    <w:name w:val="عنوان 6 Char"/>
    <w:basedOn w:val="a0"/>
    <w:link w:val="6"/>
    <w:uiPriority w:val="9"/>
    <w:semiHidden/>
    <w:rsid w:val="00C742E9"/>
    <w:rPr>
      <w:rFonts w:eastAsiaTheme="majorEastAsia" w:cstheme="majorBidi"/>
      <w:i/>
      <w:iCs/>
      <w:color w:val="595959" w:themeColor="text1" w:themeTint="A6"/>
    </w:rPr>
  </w:style>
  <w:style w:type="character" w:customStyle="1" w:styleId="7Char">
    <w:name w:val="عنوان 7 Char"/>
    <w:basedOn w:val="a0"/>
    <w:link w:val="7"/>
    <w:uiPriority w:val="9"/>
    <w:semiHidden/>
    <w:rsid w:val="00C742E9"/>
    <w:rPr>
      <w:rFonts w:eastAsiaTheme="majorEastAsia" w:cstheme="majorBidi"/>
      <w:color w:val="595959" w:themeColor="text1" w:themeTint="A6"/>
    </w:rPr>
  </w:style>
  <w:style w:type="character" w:customStyle="1" w:styleId="8Char">
    <w:name w:val="عنوان 8 Char"/>
    <w:basedOn w:val="a0"/>
    <w:link w:val="8"/>
    <w:uiPriority w:val="9"/>
    <w:semiHidden/>
    <w:rsid w:val="00C742E9"/>
    <w:rPr>
      <w:rFonts w:eastAsiaTheme="majorEastAsia" w:cstheme="majorBidi"/>
      <w:i/>
      <w:iCs/>
      <w:color w:val="272727" w:themeColor="text1" w:themeTint="D8"/>
    </w:rPr>
  </w:style>
  <w:style w:type="character" w:customStyle="1" w:styleId="9Char">
    <w:name w:val="عنوان 9 Char"/>
    <w:basedOn w:val="a0"/>
    <w:link w:val="9"/>
    <w:uiPriority w:val="9"/>
    <w:semiHidden/>
    <w:rsid w:val="00C742E9"/>
    <w:rPr>
      <w:rFonts w:eastAsiaTheme="majorEastAsia" w:cstheme="majorBidi"/>
      <w:color w:val="272727" w:themeColor="text1" w:themeTint="D8"/>
    </w:rPr>
  </w:style>
  <w:style w:type="paragraph" w:styleId="a3">
    <w:name w:val="Title"/>
    <w:basedOn w:val="a"/>
    <w:next w:val="a"/>
    <w:link w:val="Char"/>
    <w:uiPriority w:val="10"/>
    <w:qFormat/>
    <w:rsid w:val="00C742E9"/>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C742E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742E9"/>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C742E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742E9"/>
    <w:pPr>
      <w:spacing w:before="160"/>
      <w:jc w:val="center"/>
    </w:pPr>
    <w:rPr>
      <w:i/>
      <w:iCs/>
      <w:color w:val="404040" w:themeColor="text1" w:themeTint="BF"/>
    </w:rPr>
  </w:style>
  <w:style w:type="character" w:customStyle="1" w:styleId="Char1">
    <w:name w:val="اقتباس Char"/>
    <w:basedOn w:val="a0"/>
    <w:link w:val="a5"/>
    <w:uiPriority w:val="29"/>
    <w:rsid w:val="00C742E9"/>
    <w:rPr>
      <w:i/>
      <w:iCs/>
      <w:color w:val="404040" w:themeColor="text1" w:themeTint="BF"/>
    </w:rPr>
  </w:style>
  <w:style w:type="paragraph" w:styleId="a6">
    <w:name w:val="List Paragraph"/>
    <w:basedOn w:val="a"/>
    <w:uiPriority w:val="34"/>
    <w:qFormat/>
    <w:rsid w:val="00C742E9"/>
    <w:pPr>
      <w:ind w:left="720"/>
      <w:contextualSpacing/>
    </w:pPr>
  </w:style>
  <w:style w:type="character" w:styleId="a7">
    <w:name w:val="Intense Emphasis"/>
    <w:basedOn w:val="a0"/>
    <w:uiPriority w:val="21"/>
    <w:qFormat/>
    <w:rsid w:val="00C742E9"/>
    <w:rPr>
      <w:i/>
      <w:iCs/>
      <w:color w:val="0F4761" w:themeColor="accent1" w:themeShade="BF"/>
    </w:rPr>
  </w:style>
  <w:style w:type="paragraph" w:styleId="a8">
    <w:name w:val="Intense Quote"/>
    <w:basedOn w:val="a"/>
    <w:next w:val="a"/>
    <w:link w:val="Char2"/>
    <w:uiPriority w:val="30"/>
    <w:qFormat/>
    <w:rsid w:val="00C74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C742E9"/>
    <w:rPr>
      <w:i/>
      <w:iCs/>
      <w:color w:val="0F4761" w:themeColor="accent1" w:themeShade="BF"/>
    </w:rPr>
  </w:style>
  <w:style w:type="character" w:styleId="a9">
    <w:name w:val="Intense Reference"/>
    <w:basedOn w:val="a0"/>
    <w:uiPriority w:val="32"/>
    <w:qFormat/>
    <w:rsid w:val="00C742E9"/>
    <w:rPr>
      <w:b/>
      <w:bCs/>
      <w:smallCaps/>
      <w:color w:val="0F4761" w:themeColor="accent1" w:themeShade="BF"/>
      <w:spacing w:val="5"/>
    </w:rPr>
  </w:style>
  <w:style w:type="character" w:styleId="aa">
    <w:name w:val="footnote reference"/>
    <w:basedOn w:val="a0"/>
    <w:uiPriority w:val="99"/>
    <w:unhideWhenUsed/>
    <w:rsid w:val="00C742E9"/>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b">
    <w:name w:val="footnote text"/>
    <w:basedOn w:val="a"/>
    <w:link w:val="Char3"/>
    <w:uiPriority w:val="99"/>
    <w:unhideWhenUsed/>
    <w:rsid w:val="00C742E9"/>
    <w:pPr>
      <w:jc w:val="distribute"/>
    </w:pPr>
    <w:rPr>
      <w:position w:val="10"/>
      <w:sz w:val="20"/>
      <w:szCs w:val="28"/>
    </w:rPr>
  </w:style>
  <w:style w:type="character" w:customStyle="1" w:styleId="Char3">
    <w:name w:val="نص حاشية سفلية Char"/>
    <w:basedOn w:val="a0"/>
    <w:link w:val="ab"/>
    <w:uiPriority w:val="99"/>
    <w:rsid w:val="00C742E9"/>
    <w:rPr>
      <w:rFonts w:ascii="Times New Roman" w:hAnsi="Times New Roman" w:cs="ATraditional Arabic"/>
      <w:kern w:val="0"/>
      <w:position w:val="10"/>
      <w:sz w:val="20"/>
      <w:szCs w:val="28"/>
      <w14:ligatures w14:val="none"/>
    </w:rPr>
  </w:style>
  <w:style w:type="character" w:styleId="Hyperlink">
    <w:name w:val="Hyperlink"/>
    <w:basedOn w:val="a0"/>
    <w:uiPriority w:val="99"/>
    <w:unhideWhenUsed/>
    <w:rsid w:val="00C742E9"/>
    <w:rPr>
      <w:color w:val="467886" w:themeColor="hyperlink"/>
      <w:u w:val="single"/>
    </w:rPr>
  </w:style>
  <w:style w:type="character" w:styleId="ac">
    <w:name w:val="Unresolved Mention"/>
    <w:basedOn w:val="a0"/>
    <w:uiPriority w:val="99"/>
    <w:semiHidden/>
    <w:unhideWhenUsed/>
    <w:rsid w:val="00C742E9"/>
    <w:rPr>
      <w:color w:val="605E5C"/>
      <w:shd w:val="clear" w:color="auto" w:fill="E1DFDD"/>
    </w:rPr>
  </w:style>
  <w:style w:type="character" w:styleId="ad">
    <w:name w:val="FollowedHyperlink"/>
    <w:basedOn w:val="a0"/>
    <w:uiPriority w:val="99"/>
    <w:semiHidden/>
    <w:unhideWhenUsed/>
    <w:rsid w:val="00C742E9"/>
    <w:rPr>
      <w:color w:val="96607D" w:themeColor="followedHyperlink"/>
      <w:u w:val="single"/>
    </w:rPr>
  </w:style>
  <w:style w:type="character" w:customStyle="1" w:styleId="10">
    <w:name w:val="نمط1"/>
    <w:rsid w:val="00C742E9"/>
    <w:rPr>
      <w:rFonts w:cs="Tahoma"/>
      <w:iCs/>
      <w:color w:val="auto"/>
      <w:szCs w:val="24"/>
    </w:rPr>
  </w:style>
  <w:style w:type="paragraph" w:styleId="ae">
    <w:name w:val="header"/>
    <w:basedOn w:val="a"/>
    <w:link w:val="Char4"/>
    <w:uiPriority w:val="99"/>
    <w:unhideWhenUsed/>
    <w:rsid w:val="00C742E9"/>
    <w:pPr>
      <w:tabs>
        <w:tab w:val="center" w:pos="4153"/>
        <w:tab w:val="right" w:pos="8306"/>
      </w:tabs>
    </w:pPr>
  </w:style>
  <w:style w:type="character" w:customStyle="1" w:styleId="Char4">
    <w:name w:val="رأس الصفحة Char"/>
    <w:basedOn w:val="a0"/>
    <w:link w:val="ae"/>
    <w:uiPriority w:val="99"/>
    <w:rsid w:val="00C742E9"/>
    <w:rPr>
      <w:rFonts w:ascii="Times New Roman" w:hAnsi="Times New Roman" w:cs="ATraditional Arabic"/>
      <w:kern w:val="0"/>
      <w:sz w:val="32"/>
      <w:szCs w:val="36"/>
      <w14:ligatures w14:val="none"/>
    </w:rPr>
  </w:style>
  <w:style w:type="paragraph" w:styleId="af">
    <w:name w:val="footer"/>
    <w:basedOn w:val="a"/>
    <w:link w:val="Char5"/>
    <w:uiPriority w:val="99"/>
    <w:unhideWhenUsed/>
    <w:rsid w:val="00C742E9"/>
    <w:pPr>
      <w:tabs>
        <w:tab w:val="center" w:pos="4153"/>
        <w:tab w:val="right" w:pos="8306"/>
      </w:tabs>
    </w:pPr>
  </w:style>
  <w:style w:type="character" w:customStyle="1" w:styleId="Char5">
    <w:name w:val="تذييل الصفحة Char"/>
    <w:basedOn w:val="a0"/>
    <w:link w:val="af"/>
    <w:uiPriority w:val="99"/>
    <w:rsid w:val="00C742E9"/>
    <w:rPr>
      <w:rFonts w:ascii="Times New Roman" w:hAnsi="Times New Roman" w:cs="ATraditional Arabic"/>
      <w:kern w:val="0"/>
      <w:sz w:val="32"/>
      <w:szCs w:val="36"/>
      <w14:ligatures w14:val="none"/>
    </w:rPr>
  </w:style>
  <w:style w:type="character" w:styleId="af0">
    <w:name w:val="Emphasis"/>
    <w:aliases w:val="المعتمد"/>
    <w:qFormat/>
    <w:rsid w:val="00C742E9"/>
    <w:rPr>
      <w:rFonts w:ascii="Traditional Arabic" w:hAnsi="Traditional Arabic" w:cs="Traditional Arabic"/>
      <w:sz w:val="36"/>
      <w:szCs w:val="3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26</Pages>
  <Words>3688</Words>
  <Characters>21027</Characters>
  <Application>Microsoft Office Word</Application>
  <DocSecurity>0</DocSecurity>
  <Lines>175</Lines>
  <Paragraphs>49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عبدالعزيز علي</dc:creator>
  <cp:keywords/>
  <dc:description/>
  <cp:lastModifiedBy>Waleed sendbad</cp:lastModifiedBy>
  <cp:revision>18</cp:revision>
  <dcterms:created xsi:type="dcterms:W3CDTF">2026-08-30T07:09:00Z</dcterms:created>
  <dcterms:modified xsi:type="dcterms:W3CDTF">2026-08-31T09:33:00Z</dcterms:modified>
</cp:coreProperties>
</file>