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-3"/>
        <w:bidiVisual/>
        <w:tblW w:w="10207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65786F" w:rsidRPr="005C2786" w:rsidTr="00C04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C0432A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C2786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المهارة</w:t>
            </w:r>
          </w:p>
        </w:tc>
        <w:tc>
          <w:tcPr>
            <w:tcW w:w="4962" w:type="dxa"/>
          </w:tcPr>
          <w:p w:rsidR="0065786F" w:rsidRPr="005C2786" w:rsidRDefault="0065786F" w:rsidP="00C04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C2786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النص</w:t>
            </w: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C0432A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1-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مقاصد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التشريع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هذا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الباب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وربطها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بكل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فرع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مستوياتها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الثلاثة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.</w:t>
            </w:r>
          </w:p>
        </w:tc>
        <w:tc>
          <w:tcPr>
            <w:tcW w:w="4962" w:type="dxa"/>
          </w:tcPr>
          <w:p w:rsidR="0065786F" w:rsidRPr="005C2786" w:rsidRDefault="00085C04" w:rsidP="00085C04">
            <w:pPr>
              <w:pStyle w:val="a5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الالتزام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بالعقود</w:t>
            </w: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C0432A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657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-2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657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657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أسرار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657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المسائل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657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وحكم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657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التشريع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657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والإعجاز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657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التشريعي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3-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الكليات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الفقهية.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085C04" w:rsidP="00085C04">
            <w:pPr>
              <w:pStyle w:val="a5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كل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التزم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به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أحد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الشريكين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لزم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الشريك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أداءه.</w:t>
            </w: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4-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الضوابط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F854BB" w:rsidP="004C0EF4">
            <w:pPr>
              <w:pStyle w:val="a5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ضابط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يكون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الكسب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بالبدن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5-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القواعد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الخاصة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6-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التعليلات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وتحديد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نوعها.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5F5C1C" w:rsidP="005F5C1C">
            <w:pPr>
              <w:pStyle w:val="a5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أدخلا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الشريكين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المفاوضة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كسبًا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أو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غرامة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نادرين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كوجدان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لقطة،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أو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ركاز،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أو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ميراث،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أو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أرش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جناية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،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أو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يلزم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أحدهما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ضمان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غصب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أو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نحوه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فسدت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الشراكة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،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لكثرة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الغرر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فيها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ولأنها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تضمنت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كفالة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وغيرها،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يقتضيه</w:t>
            </w:r>
            <w:proofErr w:type="spell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العقد</w:t>
            </w:r>
          </w:p>
          <w:p w:rsidR="00476FEC" w:rsidRPr="005C2786" w:rsidRDefault="00476FEC" w:rsidP="00476FEC">
            <w:pPr>
              <w:pStyle w:val="a5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تصح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المساقاة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شجر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ذي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ثمرة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موجودة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لم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تكمل،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تنمى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بالعمل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،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لأنها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إذا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جازت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المعدوم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كثرة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الغرر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الموجود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وقلة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الغرر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أَولى</w:t>
            </w:r>
          </w:p>
          <w:p w:rsidR="00476FEC" w:rsidRPr="005C2786" w:rsidRDefault="00476FEC" w:rsidP="00476FEC">
            <w:pPr>
              <w:pStyle w:val="a5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صحة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المساقاة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شجر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يغرسه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أَرض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رب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الشجر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ويعمل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عليه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حتى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يثمر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،</w:t>
            </w:r>
            <w:r w:rsidR="00C043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لأَن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العوض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والعمل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معلومان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فصحت،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كالمساقاة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شجر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مغروس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(بجزء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الثمرة)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مشاع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معلوم</w:t>
            </w: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7-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تخريج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الفروع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القواعد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الفقهية.</w:t>
            </w:r>
          </w:p>
        </w:tc>
        <w:tc>
          <w:tcPr>
            <w:tcW w:w="4962" w:type="dxa"/>
          </w:tcPr>
          <w:p w:rsidR="0065786F" w:rsidRPr="005C2786" w:rsidRDefault="0066161D" w:rsidP="0066161D">
            <w:pPr>
              <w:pStyle w:val="a5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عدم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ضمان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المتلفات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كان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التلف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بغير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تفريط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مخرجا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قاعدة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(لا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ضمان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إلا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بالتفريط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أو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التعدي)</w:t>
            </w: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192865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8-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تخريج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الفروع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الفروع</w:t>
            </w:r>
          </w:p>
        </w:tc>
        <w:tc>
          <w:tcPr>
            <w:tcW w:w="4962" w:type="dxa"/>
          </w:tcPr>
          <w:p w:rsidR="0065786F" w:rsidRPr="005C2786" w:rsidRDefault="0066161D" w:rsidP="0066161D">
            <w:pPr>
              <w:pStyle w:val="a5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صحة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المساقاة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شجر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يغرسه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أَرض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رب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الشجر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ويعمل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عليه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حتى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يثمر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،</w:t>
            </w:r>
            <w:r w:rsidR="00C0432A">
              <w:rPr>
                <w:rFonts w:ascii="Traditional Arabic" w:hAnsi="Traditional Arabic" w:cs="Traditional Arabic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لأَن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العوض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والعمل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معلومان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فصحت،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كالمساقاة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شجر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مغروس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(بجزء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الثمرة)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مشاع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معلوم</w:t>
            </w:r>
          </w:p>
          <w:p w:rsidR="00EE7680" w:rsidRPr="005C2786" w:rsidRDefault="00EE7680" w:rsidP="0066161D">
            <w:pPr>
              <w:pStyle w:val="a5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lastRenderedPageBreak/>
              <w:t>تصح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المساقاة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أيضًا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(على)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شجر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ذي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(ثمرة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موجودة)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لم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تكمل،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تنمى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بالعمل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كالمزارعة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زرع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ثابت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لأنها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إذا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جازت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المعدوم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مع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كثرة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الغرر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ففي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الموجود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وقلة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الغرر</w:t>
            </w:r>
            <w:r w:rsidR="00C0432A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أَولى</w:t>
            </w: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9-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الفروق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الفقهية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10-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التقاسيم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والأنواع.</w:t>
            </w:r>
          </w:p>
        </w:tc>
        <w:tc>
          <w:tcPr>
            <w:tcW w:w="4962" w:type="dxa"/>
          </w:tcPr>
          <w:p w:rsidR="008F086F" w:rsidRPr="005C2786" w:rsidRDefault="008F086F" w:rsidP="008F086F">
            <w:pPr>
              <w:pStyle w:val="a5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أقسام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الشركات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: </w:t>
            </w:r>
          </w:p>
          <w:p w:rsidR="0065786F" w:rsidRPr="005C2786" w:rsidRDefault="008F086F" w:rsidP="008F086F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القسم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الرابع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الأبدان</w:t>
            </w:r>
            <w:r w:rsidR="00192865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192865" w:rsidRPr="005C2786" w:rsidRDefault="00192865" w:rsidP="0019286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القسم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الخامس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المفاوضة.</w:t>
            </w: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11-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الجوامع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12-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النوازل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الباب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13-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آيات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الباب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14-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أحاديث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الباب</w:t>
            </w:r>
          </w:p>
        </w:tc>
        <w:tc>
          <w:tcPr>
            <w:tcW w:w="4962" w:type="dxa"/>
          </w:tcPr>
          <w:p w:rsidR="0065786F" w:rsidRPr="005C2786" w:rsidRDefault="005F5C1C" w:rsidP="005F5C1C">
            <w:pPr>
              <w:pStyle w:val="a5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الدليل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جواز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الأبدان: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روى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أبو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داود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بإسناده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عبد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الله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قال: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اشتركت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أنا،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وسعد،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وعمار،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يوم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بدر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فلم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أجئ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أنا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وعمار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بشيء،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وجاء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سعد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بأسيرين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.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قال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أحمد: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أشرك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بينهم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النبي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sz w:val="32"/>
                <w:szCs w:val="32"/>
              </w:rPr>
              <w:sym w:font="AGA Arabesque" w:char="F072"/>
            </w:r>
          </w:p>
          <w:p w:rsidR="005F5C1C" w:rsidRPr="005C2786" w:rsidRDefault="005F5C1C" w:rsidP="005F5C1C">
            <w:pPr>
              <w:pStyle w:val="a5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الدليل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جواز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المساقاة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حديث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ابن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عمر: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عامل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النبي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صلى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الله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عليه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وسلم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أهل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خيبر،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بشطر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يخرج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منها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أو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زرع.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متفق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عليه.</w:t>
            </w:r>
          </w:p>
          <w:p w:rsidR="005F5C1C" w:rsidRPr="005C2786" w:rsidRDefault="00C0432A" w:rsidP="005F5C1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وقال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أبو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جعفر: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عامل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النبي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صلى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الله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عليه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وسلم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أهل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خيبر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بالشطر،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أبو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بكر،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عمر،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عثمان،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علي،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أهلوهم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إلى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اليوم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.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يعطون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الثلث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أو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الربع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. </w:t>
            </w: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192865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15-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مسائل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الإجماع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الباب.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4C0EF4" w:rsidP="004C0EF4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صحة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سائر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المباحات.</w:t>
            </w:r>
          </w:p>
          <w:p w:rsidR="004C0EF4" w:rsidRPr="005C2786" w:rsidRDefault="004C0EF4" w:rsidP="00F854BB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(وإن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مرض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أحد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الشركاء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F854BB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فالكسب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F854BB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الذي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F854BB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عمله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F854BB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أحدهما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F854BB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بينهما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وكذا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لو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ترك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العمل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لغير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عذر</w:t>
            </w: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16-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آثار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الباب</w:t>
            </w:r>
            <w:r w:rsidR="008F086F" w:rsidRPr="005C2786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17-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فتاوى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العلماء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الباب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18-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الألغاز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وبناؤها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(يمكن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بناؤها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خلال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معرفة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الاستثناءات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فالاستثناء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مادة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ثرية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للألغاز).</w:t>
            </w:r>
          </w:p>
        </w:tc>
        <w:tc>
          <w:tcPr>
            <w:tcW w:w="4962" w:type="dxa"/>
          </w:tcPr>
          <w:p w:rsidR="00192865" w:rsidRPr="005C2786" w:rsidRDefault="00192865" w:rsidP="00192865">
            <w:pPr>
              <w:pStyle w:val="a5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اللغز: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عملٌ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يُطالب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المكلف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بفعله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لم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يُلْزِم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نفسه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به</w:t>
            </w:r>
          </w:p>
          <w:p w:rsidR="00F854BB" w:rsidRPr="005C2786" w:rsidRDefault="00192865" w:rsidP="00192865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الجواب: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إلتزم</w:t>
            </w:r>
            <w:proofErr w:type="spellEnd"/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شريكه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بالعمل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854BB" w:rsidRPr="005C2786" w:rsidRDefault="00F854BB" w:rsidP="00F854BB">
            <w:pPr>
              <w:pStyle w:val="a5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اللغز: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عمل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يستحق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عليه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الإنسان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أجرا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وهو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لم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يعمله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؟</w:t>
            </w:r>
            <w:proofErr w:type="gramEnd"/>
          </w:p>
          <w:p w:rsidR="0065786F" w:rsidRPr="005C2786" w:rsidRDefault="00F854BB" w:rsidP="00F854BB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</w:rPr>
              <w:t>الجواب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الشريك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19-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علم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البدائل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الشرعية.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20-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تخريج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الفروع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الأصول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tabs>
                <w:tab w:val="center" w:pos="2022"/>
              </w:tabs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21-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ab/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المسائل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التي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خالف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فيها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المؤلف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مشهور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المذهب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.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22-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ضبط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مشكل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ألفاظ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الباب.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23-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المصطلحات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760667" w:rsidP="00760667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المفاوضة</w:t>
            </w:r>
          </w:p>
          <w:p w:rsidR="005F5C1C" w:rsidRPr="005C2786" w:rsidRDefault="005F5C1C" w:rsidP="00760667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المساقاة</w:t>
            </w:r>
          </w:p>
          <w:p w:rsidR="00476FEC" w:rsidRPr="005C2786" w:rsidRDefault="00476FEC" w:rsidP="00760667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المزارعة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476FEC" w:rsidRPr="005C2786" w:rsidRDefault="00476FEC" w:rsidP="00476FEC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المناصبة</w:t>
            </w:r>
            <w:proofErr w:type="spellEnd"/>
          </w:p>
          <w:p w:rsidR="00476FEC" w:rsidRPr="005C2786" w:rsidRDefault="00476FEC" w:rsidP="00476FEC">
            <w:pPr>
              <w:pStyle w:val="a5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المغارسة</w:t>
            </w: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24-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لغة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الفقه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25-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التعاريف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الواردة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الباب.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8F086F" w:rsidP="008F086F">
            <w:pPr>
              <w:pStyle w:val="a5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تعريف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: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هي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(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يشتركا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يكتسبان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بأبدانهما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،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تقبله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أحدهما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عمل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يلزمهما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192865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فعله</w:t>
            </w:r>
            <w:r w:rsidR="00760667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)</w:t>
            </w:r>
            <w:r w:rsidR="00192865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192865" w:rsidRPr="005C2786" w:rsidRDefault="00192865" w:rsidP="00192865">
            <w:pPr>
              <w:pStyle w:val="a5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تعريف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المفاوضة: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هي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(أن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يفوض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كل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منهما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صاحبه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كل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تصرف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مالي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وبدني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أنواع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الشركة)</w:t>
            </w:r>
            <w:r w:rsidR="00760667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5F5C1C" w:rsidRPr="005C2786" w:rsidRDefault="00C0432A" w:rsidP="005F5C1C">
            <w:pPr>
              <w:pStyle w:val="a5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تعريف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المساقاة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السقي،</w:t>
            </w:r>
            <w:r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وهي: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دفع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شجر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له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ثمر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مأْكول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ولو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غير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مغروس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–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إلى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آخر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ليقوم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بسقيه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وما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يحتاج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إليه،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بجزءٍ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معلوم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له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ثمرة</w:t>
            </w:r>
            <w:r w:rsidR="005F5C1C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476FEC" w:rsidRPr="005C2786" w:rsidRDefault="00476FEC" w:rsidP="00476FEC">
            <w:pPr>
              <w:pStyle w:val="a5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تعريف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proofErr w:type="spellStart"/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المناصبة</w:t>
            </w:r>
            <w:proofErr w:type="spellEnd"/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والمغارسة: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وهي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دفع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أرض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وشجر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يغرسه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بجزء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مشاع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معلوم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الشجر.</w:t>
            </w: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26-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المسائل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الخلافية.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27-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تحرير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محل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النزاع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النص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.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28-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الأقوال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المسألة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29-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أدلة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الأقوال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30-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المناقشات.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31-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سبب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الخلاف.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33-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ثمرة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الخلاف.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34-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استخراج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نوع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الخلاف.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35-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المستثنيات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.</w:t>
            </w:r>
          </w:p>
        </w:tc>
        <w:tc>
          <w:tcPr>
            <w:tcW w:w="4962" w:type="dxa"/>
          </w:tcPr>
          <w:p w:rsidR="0065786F" w:rsidRPr="005C2786" w:rsidRDefault="00EE7680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تصح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المساقاة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الشجر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إلا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كان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ثمره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غير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مأكول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أو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كان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مما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ليس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له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ثمر</w:t>
            </w:r>
            <w:r w:rsidR="00C0432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657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36-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بناء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الأصول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الأصول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.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37-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الشروط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الفقهية.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760667" w:rsidP="00760667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يشترط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لصحة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المفاوضة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الإتفاق</w:t>
            </w:r>
            <w:proofErr w:type="spell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تحديد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نسبة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الربح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لشركاء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،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الخسارة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فيها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تكون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بقدر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المال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5F5C1C" w:rsidRPr="005C2786" w:rsidRDefault="005F5C1C" w:rsidP="005F5C1C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يشترط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لصحة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المساقاة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>: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  <w:p w:rsidR="00476FEC" w:rsidRPr="005C2786" w:rsidRDefault="005F5C1C" w:rsidP="005F5C1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1-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أن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يكون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الشجر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.</w:t>
            </w:r>
          </w:p>
          <w:p w:rsidR="005F5C1C" w:rsidRPr="005C2786" w:rsidRDefault="00476FEC" w:rsidP="005F5C1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2-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أن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يكون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ثمر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الشجر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مأْكول.</w:t>
            </w:r>
          </w:p>
          <w:p w:rsidR="005F5C1C" w:rsidRPr="005C2786" w:rsidRDefault="00476FEC" w:rsidP="005F5C1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3</w:t>
            </w:r>
            <w:r w:rsidR="005F5C1C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</w:t>
            </w:r>
            <w:proofErr w:type="gramEnd"/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يكون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الأجر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5F5C1C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معلوما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F854BB" w:rsidRPr="005C2786" w:rsidRDefault="00F854BB" w:rsidP="005F5C1C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4-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</w:t>
            </w:r>
            <w:proofErr w:type="gramEnd"/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الأجر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مشاعا.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5F5C1C" w:rsidRPr="005C2786" w:rsidRDefault="005F5C1C" w:rsidP="005F5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38-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الأركان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الفقهية.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657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39-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المباحات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192865" w:rsidP="00760667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تصح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الاحتشاش،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والاحتطاب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،</w:t>
            </w:r>
            <w:r w:rsidR="00C0432A">
              <w:rPr>
                <w:rFonts w:ascii="Traditional Arabic" w:hAnsi="Traditional Arabic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والثمار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المأْخوذة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الجبال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والمعادن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والتلصص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دار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الحرب.</w:t>
            </w:r>
          </w:p>
          <w:p w:rsidR="0066161D" w:rsidRPr="005C2786" w:rsidRDefault="0066161D" w:rsidP="0066161D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وأيضا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تصح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إذا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اشتركا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يحملا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دابتيهما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والأُجرة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بينهما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،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يصح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دفع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دابة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ونحوها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لمن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يعمل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عليها،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رزقه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الله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بينهما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ما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شرطاه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760667" w:rsidRPr="005C2786" w:rsidRDefault="00C0432A" w:rsidP="00760667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تصح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شركة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المفاوضة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البيع،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والشراء،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والمضاربة،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والتوكيل،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والبيع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الذمة،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والمسافرة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بالمال،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والإرتهانًا</w:t>
            </w:r>
            <w:proofErr w:type="spellEnd"/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،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وضمان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ما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يرى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760667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الأعمال</w:t>
            </w:r>
            <w:r w:rsidR="00760667"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  <w:p w:rsidR="00760667" w:rsidRPr="005C2786" w:rsidRDefault="00760667" w:rsidP="00760667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تصح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اختلاف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الصنائع،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كقصار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مع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خياط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.</w:t>
            </w:r>
          </w:p>
          <w:p w:rsidR="005F5C1C" w:rsidRPr="005C2786" w:rsidRDefault="005F5C1C" w:rsidP="005F5C1C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صحة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المساقاة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الشجر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الغير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مغروس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  <w:p w:rsidR="005F5C1C" w:rsidRPr="005C2786" w:rsidRDefault="005F5C1C" w:rsidP="005F5C1C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كان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له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ثمر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مأكول.</w:t>
            </w:r>
          </w:p>
          <w:p w:rsidR="00476FEC" w:rsidRPr="005C2786" w:rsidRDefault="00476FEC" w:rsidP="00476FEC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تصح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المساقاة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شجر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يغرسه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أَرض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رب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الشجر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ويعمل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عليه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حتى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يثمر</w:t>
            </w:r>
          </w:p>
        </w:tc>
      </w:tr>
      <w:tr w:rsidR="00657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65786F" w:rsidRPr="005C2786" w:rsidRDefault="00657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40-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المستحبات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="008F086F"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65786F" w:rsidRPr="005C2786" w:rsidRDefault="00657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F0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8F086F" w:rsidRPr="005C2786" w:rsidRDefault="008F0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41-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المكروهات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</w:t>
            </w:r>
          </w:p>
        </w:tc>
        <w:tc>
          <w:tcPr>
            <w:tcW w:w="4962" w:type="dxa"/>
          </w:tcPr>
          <w:p w:rsidR="008F086F" w:rsidRPr="005C2786" w:rsidRDefault="008F086F" w:rsidP="00657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F086F" w:rsidRPr="005C2786" w:rsidTr="00C04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8F086F" w:rsidRPr="005C2786" w:rsidRDefault="008F0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42-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المحرمات</w:t>
            </w:r>
            <w:r w:rsidR="00C0432A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الفقهية</w:t>
            </w:r>
          </w:p>
        </w:tc>
        <w:tc>
          <w:tcPr>
            <w:tcW w:w="4962" w:type="dxa"/>
          </w:tcPr>
          <w:p w:rsidR="008F086F" w:rsidRPr="005C2786" w:rsidRDefault="008F086F" w:rsidP="00657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8F086F" w:rsidRPr="005C2786" w:rsidTr="00C04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8F086F" w:rsidRPr="005C2786" w:rsidRDefault="008F086F" w:rsidP="008F08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43-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علم</w:t>
            </w:r>
            <w:proofErr w:type="gramEnd"/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الواجبات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الفقهية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62" w:type="dxa"/>
          </w:tcPr>
          <w:p w:rsidR="008F086F" w:rsidRPr="005C2786" w:rsidRDefault="00760667" w:rsidP="00760667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تقبله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أحد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الشريكين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عمل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لزم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الأخر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فعله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760667" w:rsidRPr="005C2786" w:rsidRDefault="00760667" w:rsidP="00760667">
            <w:pPr>
              <w:pStyle w:val="a5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إذا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مرض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أحد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الشريكين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شركة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الأبدان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وطالب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الشريك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هذا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المريض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أن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يقيم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مقامه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غيره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5C2786">
              <w:rPr>
                <w:rFonts w:ascii="Traditional Arabic" w:hAnsi="Traditional Arabic" w:cs="Traditional Arabic"/>
                <w:sz w:val="32"/>
                <w:szCs w:val="32"/>
                <w:rtl/>
              </w:rPr>
              <w:t>لزمه</w:t>
            </w:r>
            <w:r w:rsidR="00C0432A">
              <w:rPr>
                <w:rFonts w:ascii="Traditional Arabic" w:hAnsi="Traditional Arabic" w:cs="Traditional Arabic"/>
                <w:sz w:val="32"/>
                <w:szCs w:val="32"/>
                <w:rtl/>
              </w:rPr>
              <w:t>.</w:t>
            </w:r>
          </w:p>
        </w:tc>
      </w:tr>
    </w:tbl>
    <w:p w:rsidR="00257A62" w:rsidRDefault="00CB6E3E" w:rsidP="0065786F">
      <w:pPr>
        <w:rPr>
          <w:rtl/>
        </w:rPr>
      </w:pPr>
    </w:p>
    <w:p w:rsidR="008F086F" w:rsidRDefault="008F086F" w:rsidP="0065786F">
      <w:pPr>
        <w:rPr>
          <w:rtl/>
        </w:rPr>
      </w:pPr>
    </w:p>
    <w:p w:rsidR="008F086F" w:rsidRPr="00760667" w:rsidRDefault="008F086F" w:rsidP="0065786F">
      <w:pPr>
        <w:rPr>
          <w:color w:val="FF0000"/>
          <w:rtl/>
        </w:rPr>
      </w:pPr>
    </w:p>
    <w:p w:rsidR="00C92446" w:rsidRDefault="00C92446" w:rsidP="00192865">
      <w:pPr>
        <w:pStyle w:val="a4"/>
        <w:ind w:left="-1134" w:right="-1050"/>
        <w:jc w:val="righ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C92446" w:rsidRDefault="00C92446" w:rsidP="00192865">
      <w:pPr>
        <w:pStyle w:val="a4"/>
        <w:ind w:left="-1134" w:right="-1050"/>
        <w:jc w:val="righ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C92446" w:rsidRDefault="00C92446" w:rsidP="00192865">
      <w:pPr>
        <w:pStyle w:val="a4"/>
        <w:ind w:left="-1134" w:right="-1050"/>
        <w:jc w:val="righ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C92446" w:rsidRDefault="00C92446" w:rsidP="00192865">
      <w:pPr>
        <w:pStyle w:val="a4"/>
        <w:ind w:left="-1134" w:right="-1050"/>
        <w:jc w:val="right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C92446" w:rsidRPr="005C2786" w:rsidRDefault="00C92446" w:rsidP="00192865">
      <w:pPr>
        <w:pStyle w:val="a4"/>
        <w:ind w:left="-1134" w:right="-1050"/>
        <w:jc w:val="right"/>
        <w:rPr>
          <w:rFonts w:ascii="Traditional Arabic" w:hAnsi="Traditional Arabic" w:cs="Traditional Arabic"/>
          <w:sz w:val="32"/>
          <w:szCs w:val="32"/>
          <w:rtl/>
        </w:rPr>
      </w:pPr>
    </w:p>
    <w:p w:rsidR="00192865" w:rsidRPr="005C2786" w:rsidRDefault="00C0432A" w:rsidP="00C0432A">
      <w:pPr>
        <w:pStyle w:val="a4"/>
        <w:bidi/>
        <w:ind w:left="-1134" w:right="-105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</w:rPr>
        <w:lastRenderedPageBreak/>
        <w:t xml:space="preserve"> </w:t>
      </w:r>
      <w:r w:rsidR="00C92446" w:rsidRPr="005C2786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الرابع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شركة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الأبدان)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وهي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(أن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يشتركا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فيما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يكتسبان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بأبدانهما)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يشتركان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في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كسبهما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صنائعهما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فما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رزق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الله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فهو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بينهما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(فما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تقبله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أحدهما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عمل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يلزمهما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فعله)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ويطالبان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به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لأن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شركة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الأبدان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لا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تنعقد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إلا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على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ذلك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وتصح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مع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اختلاف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الصنائع،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كقصار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مع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خياط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ولكل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واحد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منهما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طلب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الأُجرة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وللمستأْجر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دفعها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إلى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أحدهما</w:t>
      </w:r>
      <w:r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F854BB" w:rsidRPr="005C2786" w:rsidRDefault="008F086F" w:rsidP="00C0432A">
      <w:pPr>
        <w:pStyle w:val="a4"/>
        <w:bidi/>
        <w:ind w:left="-1134" w:right="-1050"/>
        <w:jc w:val="both"/>
        <w:rPr>
          <w:rFonts w:ascii="Traditional Arabic" w:hAnsi="Traditional Arabic" w:cs="Traditional Arabic"/>
          <w:sz w:val="32"/>
          <w:szCs w:val="32"/>
        </w:rPr>
      </w:pPr>
      <w:r w:rsidRPr="005C2786">
        <w:rPr>
          <w:rFonts w:ascii="Traditional Arabic" w:hAnsi="Traditional Arabic" w:cs="Traditional Arabic"/>
          <w:sz w:val="32"/>
          <w:szCs w:val="32"/>
          <w:rtl/>
        </w:rPr>
        <w:t>ومن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تلفت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بيده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بغير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تفريط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يضمن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(وتصح)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شركة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الأبدان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(في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الاحتشاش،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والاحتطاب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وسائر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المباحات)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كالثمار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المأْخوذة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الجبال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والمعادن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والتلصص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دار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الحرب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روى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أبو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داود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بإسناده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عبد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قال: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اشتركت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أنا،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وسعد،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وعمار،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يوم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بدر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فلم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أجئ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أنا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وعمار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بشيء،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وجاء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سعد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بأسيرين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قال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أحمد: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أشرك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بينهم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النبي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صلى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وسلم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(وإن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مرض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أحدهما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فالكسب)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عمله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أحدهما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(بينهما)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احتج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الإمام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بحديث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سعد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وكذا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ترك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لغير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عذر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(وإن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طالبه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الصحيح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يقيم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مقامه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لزمه).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لأنهما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دخلا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يعملا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تعذر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بنفسه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لزمه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يقيم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مقامه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توفية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للعقد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5C2786">
        <w:rPr>
          <w:rFonts w:ascii="Traditional Arabic" w:hAnsi="Traditional Arabic" w:cs="Traditional Arabic"/>
          <w:sz w:val="32"/>
          <w:szCs w:val="32"/>
          <w:rtl/>
        </w:rPr>
        <w:t>يقتضيه</w:t>
      </w:r>
      <w:proofErr w:type="spellEnd"/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وللآخر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الفسخ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وإن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اشتركا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يحملا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دابتيهما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والأُجرة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بينهما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صح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وإن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أجَّراهما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بأعينهما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فلكل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أجرة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دابته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ويصح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دفع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دابة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ونحوها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لمن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يعمل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عليها،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رزقه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بينهما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شرطاه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(الخامس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شركة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المفاوضة)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وهي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(أن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يفوض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منهما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صاحبه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تصرف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مالي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وبدني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أنواع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الشركة)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بيعًا،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وشراء،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ومضاربة،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وتوكيلاً،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وابتياعًا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الذمة،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ومسافرة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بالمال،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وارتهانًا،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وضمان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يرى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الأعمال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يشتركا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يثبت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وعليهما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فتصح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(والربح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شرطاه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والوضيعة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بقدر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المال)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سبق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العنان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(فإن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أدخلا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كسبًا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غرامة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نادرين)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كوجدان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لقطة،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ركاز،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ميراث،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أرش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جناية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(أو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يلزم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أحدهما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ضمان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غصب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نحوه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فسدت)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لكثرة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الغرر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ولأنها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تضمنت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كفالة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وغيرها،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5C2786">
        <w:rPr>
          <w:rFonts w:ascii="Traditional Arabic" w:hAnsi="Traditional Arabic" w:cs="Traditional Arabic"/>
          <w:sz w:val="32"/>
          <w:szCs w:val="32"/>
          <w:rtl/>
        </w:rPr>
        <w:t>يقتضيه</w:t>
      </w:r>
      <w:proofErr w:type="spellEnd"/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العقد</w:t>
      </w:r>
      <w:r w:rsidR="00C0432A">
        <w:rPr>
          <w:rFonts w:ascii="Traditional Arabic" w:hAnsi="Traditional Arabic" w:cs="Traditional Arabic"/>
          <w:sz w:val="32"/>
          <w:szCs w:val="32"/>
        </w:rPr>
        <w:t>.</w:t>
      </w:r>
    </w:p>
    <w:p w:rsidR="00476FEC" w:rsidRPr="005C2786" w:rsidRDefault="00C0432A" w:rsidP="00C0432A">
      <w:pPr>
        <w:pStyle w:val="a4"/>
        <w:bidi/>
        <w:ind w:left="-1134" w:right="-105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باب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المساقاة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السقي،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لأنه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أهم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أمرها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بالحجاز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وهي: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دفع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شجر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له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ثمر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مأْكول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ولو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غير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مغروس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إلى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آخر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ليقوم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بسقيه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يحتاج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إليه،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بجزءٍ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معلوم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له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ثمرة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(تصح)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المساقاة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(على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شجر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له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ثمر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يؤكل)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نخل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وغيره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لحديث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ابن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عمر: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عامل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النبي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صلى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الله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عليه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وسلم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أهل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خيبر،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بشطر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يخرج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منها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ثمر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أو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زرع.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متفق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عليه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وقال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أبو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جعفر</w:t>
      </w:r>
      <w:bookmarkStart w:id="0" w:name="_GoBack"/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: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عامل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النبي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صلى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الله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عليه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وسلم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أهل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خيبر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بالشطر،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ثم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أبو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بكر،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ثم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عمر،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ثم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عثمان،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ثم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علي،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ثم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أهلوهم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إلى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اليوم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يعطون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الثلث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أو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الربع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ولا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تصح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على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لا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ثمر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له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كالحور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أو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له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ثمر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غير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مأْكول،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كالصنوبر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F086F" w:rsidRPr="005C2786">
        <w:rPr>
          <w:rFonts w:ascii="Traditional Arabic" w:hAnsi="Traditional Arabic" w:cs="Traditional Arabic"/>
          <w:sz w:val="32"/>
          <w:szCs w:val="32"/>
          <w:rtl/>
        </w:rPr>
        <w:t>والقرظ</w:t>
      </w:r>
      <w:r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8F086F" w:rsidRPr="00476FEC" w:rsidRDefault="008F086F" w:rsidP="00C0432A">
      <w:pPr>
        <w:pStyle w:val="a4"/>
        <w:bidi/>
        <w:ind w:left="-1134" w:right="-105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5C2786">
        <w:rPr>
          <w:rFonts w:ascii="Traditional Arabic" w:hAnsi="Traditional Arabic" w:cs="Traditional Arabic"/>
          <w:sz w:val="32"/>
          <w:szCs w:val="32"/>
          <w:rtl/>
        </w:rPr>
        <w:t>(و)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تصح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المساقاة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أيضًا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(على)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شجر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ذي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(ثمرة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موجودة)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تكمل،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تنمى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بالعمل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كالمزارعة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زرع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ثابت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لأنها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إذا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جازت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المعدوم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مع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كثرة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الغرر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ففي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الموجود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وقلة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الغرر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أَولى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(و)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تصح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أيضًا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(على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شجر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يغرسه)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أَرض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رب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الشجر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(ويعمل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حتى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يثمر).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احتج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الإمام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بحديث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خيبر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ولأَن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العوض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والعمل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معلومان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فصحت،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كالمساقاة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شجر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مغروس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(بجزء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الثمرة)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مشاع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معلوم،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وهو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متعلق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بقوله: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تصح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فلو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شرطا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المساقاة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الكل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لأحدهما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5C2786">
        <w:rPr>
          <w:rFonts w:ascii="Traditional Arabic" w:hAnsi="Traditional Arabic" w:cs="Traditional Arabic"/>
          <w:sz w:val="32"/>
          <w:szCs w:val="32"/>
          <w:rtl/>
        </w:rPr>
        <w:t>آصعًا</w:t>
      </w:r>
      <w:proofErr w:type="spellEnd"/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معلومة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ثمرة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شجرة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تصح</w:t>
      </w:r>
      <w:bookmarkEnd w:id="0"/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وتصح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5C2786">
        <w:rPr>
          <w:rFonts w:ascii="Traditional Arabic" w:hAnsi="Traditional Arabic" w:cs="Traditional Arabic"/>
          <w:sz w:val="32"/>
          <w:szCs w:val="32"/>
          <w:rtl/>
        </w:rPr>
        <w:t>المناصبة</w:t>
      </w:r>
      <w:proofErr w:type="spellEnd"/>
      <w:r w:rsidRPr="005C2786">
        <w:rPr>
          <w:rFonts w:ascii="Traditional Arabic" w:hAnsi="Traditional Arabic" w:cs="Traditional Arabic"/>
          <w:sz w:val="32"/>
          <w:szCs w:val="32"/>
          <w:rtl/>
        </w:rPr>
        <w:t>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والمغارسة،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وهي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دفع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أرض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وشجر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لمن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يغرسه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كما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تقدم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بجزء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مشاع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معلوم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C043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C2786">
        <w:rPr>
          <w:rFonts w:ascii="Traditional Arabic" w:hAnsi="Traditional Arabic" w:cs="Traditional Arabic"/>
          <w:sz w:val="32"/>
          <w:szCs w:val="32"/>
          <w:rtl/>
        </w:rPr>
        <w:t>الشجر</w:t>
      </w:r>
      <w:r w:rsidR="00C0432A">
        <w:rPr>
          <w:rFonts w:ascii="Traditional Arabic" w:hAnsi="Traditional Arabic" w:cs="Traditional Arabic"/>
          <w:sz w:val="32"/>
          <w:szCs w:val="32"/>
        </w:rPr>
        <w:t>.</w:t>
      </w:r>
    </w:p>
    <w:p w:rsidR="008F086F" w:rsidRPr="008F086F" w:rsidRDefault="008F086F" w:rsidP="0065786F"/>
    <w:sectPr w:rsidR="008F086F" w:rsidRPr="008F086F" w:rsidSect="00C0432A">
      <w:headerReference w:type="default" r:id="rId7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3E" w:rsidRDefault="00CB6E3E" w:rsidP="00C92446">
      <w:pPr>
        <w:spacing w:after="0" w:line="240" w:lineRule="auto"/>
      </w:pPr>
      <w:r>
        <w:separator/>
      </w:r>
    </w:p>
  </w:endnote>
  <w:endnote w:type="continuationSeparator" w:id="0">
    <w:p w:rsidR="00CB6E3E" w:rsidRDefault="00CB6E3E" w:rsidP="00C9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3E" w:rsidRDefault="00CB6E3E" w:rsidP="00C92446">
      <w:pPr>
        <w:spacing w:after="0" w:line="240" w:lineRule="auto"/>
      </w:pPr>
      <w:r>
        <w:separator/>
      </w:r>
    </w:p>
  </w:footnote>
  <w:footnote w:type="continuationSeparator" w:id="0">
    <w:p w:rsidR="00CB6E3E" w:rsidRDefault="00CB6E3E" w:rsidP="00C9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46" w:rsidRPr="00C0432A" w:rsidRDefault="00C0432A" w:rsidP="00C0432A">
    <w:pPr>
      <w:pStyle w:val="a6"/>
    </w:pPr>
    <w:r>
      <w:rPr>
        <w:noProof/>
      </w:rPr>
      <w:pict>
        <v:group id="_x0000_s2049" style="position:absolute;left:0;text-align:left;margin-left:-5.9pt;margin-top:-27.95pt;width:486.75pt;height:57.85pt;z-index:251658240" coordorigin="1300,150" coordsize="9735,1157">
          <v:line id="_x0000_s2050" style="position:absolute;flip:x" from="1300,1163" to="9746,1163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604;top:539;width:5373;height:664" filled="f" stroked="f">
            <v:textbox style="mso-next-textbox:#_x0000_s2051" inset="0,0,0,0">
              <w:txbxContent>
                <w:p w:rsidR="00C0432A" w:rsidRPr="00C2314C" w:rsidRDefault="00C0432A" w:rsidP="00C0432A">
                  <w:pPr>
                    <w:spacing w:after="0" w:line="240" w:lineRule="auto"/>
                    <w:jc w:val="center"/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تابع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الجديد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والحصري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على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شبكة </w:t>
                  </w:r>
                  <w:proofErr w:type="spellStart"/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الألوكة</w:t>
                  </w:r>
                  <w:proofErr w:type="spellEnd"/>
                  <w: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hyperlink r:id="rId1" w:history="1">
                    <w:r w:rsidRPr="00EF471B">
                      <w:rPr>
                        <w:rStyle w:val="Hyperlink"/>
                        <w:rFonts w:cs="Traditional Arabic"/>
                        <w:b/>
                        <w:bCs/>
                      </w:rPr>
                      <w:t>www.alukah.net</w:t>
                    </w:r>
                  </w:hyperlink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 </w:t>
                  </w:r>
                </w:p>
                <w:p w:rsidR="00C0432A" w:rsidRPr="00EF471B" w:rsidRDefault="00C0432A" w:rsidP="00C0432A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2" type="#_x0000_t75" style="position:absolute;left:9718;top:150;width:1317;height:1157;visibility:visible">
            <v:imagedata r:id="rId2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507"/>
    <w:multiLevelType w:val="hybridMultilevel"/>
    <w:tmpl w:val="280E0BF0"/>
    <w:lvl w:ilvl="0" w:tplc="B29C96E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BC8"/>
    <w:multiLevelType w:val="hybridMultilevel"/>
    <w:tmpl w:val="CAEAF5CC"/>
    <w:lvl w:ilvl="0" w:tplc="0E6CC02C">
      <w:start w:val="5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6243C"/>
    <w:multiLevelType w:val="hybridMultilevel"/>
    <w:tmpl w:val="783AEC84"/>
    <w:lvl w:ilvl="0" w:tplc="2E78393E">
      <w:start w:val="4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AF905A3"/>
    <w:multiLevelType w:val="hybridMultilevel"/>
    <w:tmpl w:val="4DF29CC6"/>
    <w:lvl w:ilvl="0" w:tplc="14E85E76">
      <w:start w:val="25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80D7C"/>
    <w:multiLevelType w:val="hybridMultilevel"/>
    <w:tmpl w:val="02783164"/>
    <w:lvl w:ilvl="0" w:tplc="FCA61E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608CB"/>
    <w:multiLevelType w:val="hybridMultilevel"/>
    <w:tmpl w:val="D4F44A88"/>
    <w:lvl w:ilvl="0" w:tplc="58423216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4C572C6"/>
    <w:multiLevelType w:val="hybridMultilevel"/>
    <w:tmpl w:val="8286BDD4"/>
    <w:lvl w:ilvl="0" w:tplc="855C7EF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53110"/>
    <w:multiLevelType w:val="hybridMultilevel"/>
    <w:tmpl w:val="EDB623B8"/>
    <w:lvl w:ilvl="0" w:tplc="4F32B298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86F"/>
    <w:rsid w:val="00085C04"/>
    <w:rsid w:val="000A0F89"/>
    <w:rsid w:val="00192865"/>
    <w:rsid w:val="003079CB"/>
    <w:rsid w:val="00476FEC"/>
    <w:rsid w:val="004C0EF4"/>
    <w:rsid w:val="0050181A"/>
    <w:rsid w:val="005C2786"/>
    <w:rsid w:val="005F5C1C"/>
    <w:rsid w:val="0062392D"/>
    <w:rsid w:val="0065786F"/>
    <w:rsid w:val="0066161D"/>
    <w:rsid w:val="00760667"/>
    <w:rsid w:val="0076565B"/>
    <w:rsid w:val="008A0EB9"/>
    <w:rsid w:val="008F086F"/>
    <w:rsid w:val="00926AE4"/>
    <w:rsid w:val="00AE29A9"/>
    <w:rsid w:val="00B0263B"/>
    <w:rsid w:val="00BC231D"/>
    <w:rsid w:val="00BD2D00"/>
    <w:rsid w:val="00C0432A"/>
    <w:rsid w:val="00C92446"/>
    <w:rsid w:val="00CA6214"/>
    <w:rsid w:val="00CB6E3E"/>
    <w:rsid w:val="00EE7680"/>
    <w:rsid w:val="00F8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8E1B7FE6-8F7C-4A85-872A-32F1EFEB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8F08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086F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C924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C92446"/>
  </w:style>
  <w:style w:type="paragraph" w:styleId="a7">
    <w:name w:val="footer"/>
    <w:basedOn w:val="a"/>
    <w:link w:val="Char0"/>
    <w:uiPriority w:val="99"/>
    <w:semiHidden/>
    <w:unhideWhenUsed/>
    <w:rsid w:val="00C924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semiHidden/>
    <w:rsid w:val="00C92446"/>
  </w:style>
  <w:style w:type="character" w:styleId="Hyperlink">
    <w:name w:val="Hyperlink"/>
    <w:basedOn w:val="a0"/>
    <w:uiPriority w:val="99"/>
    <w:unhideWhenUsed/>
    <w:rsid w:val="00C0432A"/>
    <w:rPr>
      <w:color w:val="0000FF"/>
      <w:u w:val="single"/>
    </w:rPr>
  </w:style>
  <w:style w:type="table" w:styleId="4-3">
    <w:name w:val="Grid Table 4 Accent 3"/>
    <w:basedOn w:val="a1"/>
    <w:uiPriority w:val="49"/>
    <w:rsid w:val="00C0432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alukah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Waleed sendbad</cp:lastModifiedBy>
  <cp:revision>9</cp:revision>
  <dcterms:created xsi:type="dcterms:W3CDTF">2016-03-20T15:55:00Z</dcterms:created>
  <dcterms:modified xsi:type="dcterms:W3CDTF">2016-07-18T06:35:00Z</dcterms:modified>
</cp:coreProperties>
</file>